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FB6" w:rsidRPr="00C73649" w:rsidRDefault="00354FB6" w:rsidP="00354FB6">
      <w:pPr>
        <w:autoSpaceDE w:val="0"/>
        <w:autoSpaceDN w:val="0"/>
        <w:adjustRightInd w:val="0"/>
        <w:spacing w:after="0" w:line="480" w:lineRule="auto"/>
        <w:jc w:val="both"/>
        <w:rPr>
          <w:rFonts w:ascii="Times New Roman" w:hAnsi="Times New Roman"/>
          <w:b/>
          <w:sz w:val="24"/>
          <w:szCs w:val="24"/>
        </w:rPr>
      </w:pPr>
      <w:r w:rsidRPr="00C73649">
        <w:rPr>
          <w:rStyle w:val="apple-style-span"/>
          <w:rFonts w:ascii="Times New Roman" w:hAnsi="Times New Roman"/>
          <w:b/>
          <w:color w:val="000000"/>
          <w:sz w:val="24"/>
          <w:szCs w:val="24"/>
        </w:rPr>
        <w:t>Development of Solid SEDDS, II: Application of Acconon C-44</w:t>
      </w:r>
      <w:r w:rsidRPr="00C73649">
        <w:rPr>
          <w:rStyle w:val="apple-style-span"/>
          <w:rFonts w:ascii="Times New Roman" w:hAnsi="Times New Roman"/>
          <w:b/>
          <w:color w:val="000000"/>
          <w:sz w:val="24"/>
          <w:szCs w:val="24"/>
          <w:vertAlign w:val="superscript"/>
        </w:rPr>
        <w:t>®</w:t>
      </w:r>
      <w:r w:rsidRPr="00C73649">
        <w:rPr>
          <w:rStyle w:val="apple-style-span"/>
          <w:rFonts w:ascii="Times New Roman" w:hAnsi="Times New Roman"/>
          <w:b/>
          <w:color w:val="000000"/>
          <w:sz w:val="24"/>
          <w:szCs w:val="24"/>
        </w:rPr>
        <w:t xml:space="preserve"> and Gelucire 44/14</w:t>
      </w:r>
      <w:r w:rsidRPr="00C73649">
        <w:rPr>
          <w:rStyle w:val="apple-style-span"/>
          <w:rFonts w:ascii="Times New Roman" w:hAnsi="Times New Roman"/>
          <w:b/>
          <w:color w:val="000000"/>
          <w:sz w:val="24"/>
          <w:szCs w:val="24"/>
          <w:vertAlign w:val="superscript"/>
        </w:rPr>
        <w:t>®</w:t>
      </w:r>
      <w:r w:rsidRPr="00C73649">
        <w:rPr>
          <w:rStyle w:val="apple-style-span"/>
          <w:rFonts w:ascii="Times New Roman" w:hAnsi="Times New Roman"/>
          <w:b/>
          <w:color w:val="000000"/>
          <w:sz w:val="24"/>
          <w:szCs w:val="24"/>
        </w:rPr>
        <w:t xml:space="preserve"> as Solidifying Agents for Self-emulsifying Drug Delivery Systems of Medium Chain Triglyceride</w:t>
      </w:r>
      <w:r w:rsidR="0014738E">
        <w:rPr>
          <w:rStyle w:val="apple-style-span"/>
          <w:rFonts w:ascii="Times New Roman" w:hAnsi="Times New Roman"/>
          <w:b/>
          <w:color w:val="000000"/>
          <w:sz w:val="24"/>
          <w:szCs w:val="24"/>
        </w:rPr>
        <w:t>.</w:t>
      </w:r>
    </w:p>
    <w:p w:rsidR="00354FB6" w:rsidRPr="00C73649" w:rsidRDefault="00354FB6" w:rsidP="00354FB6">
      <w:pPr>
        <w:autoSpaceDE w:val="0"/>
        <w:autoSpaceDN w:val="0"/>
        <w:adjustRightInd w:val="0"/>
        <w:spacing w:after="0" w:line="480" w:lineRule="auto"/>
        <w:jc w:val="both"/>
        <w:rPr>
          <w:rFonts w:ascii="Times New Roman" w:hAnsi="Times New Roman"/>
          <w:b/>
          <w:sz w:val="24"/>
          <w:szCs w:val="24"/>
        </w:rPr>
      </w:pP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Nrupa Patel</w:t>
      </w:r>
      <w:r w:rsidRPr="00C73649">
        <w:rPr>
          <w:rFonts w:ascii="Times New Roman" w:hAnsi="Times New Roman"/>
          <w:sz w:val="24"/>
          <w:szCs w:val="24"/>
          <w:vertAlign w:val="superscript"/>
        </w:rPr>
        <w:t>a</w:t>
      </w:r>
      <w:r w:rsidRPr="00C73649">
        <w:rPr>
          <w:rFonts w:ascii="Times New Roman" w:hAnsi="Times New Roman"/>
          <w:sz w:val="24"/>
          <w:szCs w:val="24"/>
        </w:rPr>
        <w:t>, Hetal N. Prajapati</w:t>
      </w:r>
      <w:r w:rsidRPr="00C73649">
        <w:rPr>
          <w:rFonts w:ascii="Times New Roman" w:hAnsi="Times New Roman"/>
          <w:sz w:val="24"/>
          <w:szCs w:val="24"/>
          <w:vertAlign w:val="superscript"/>
        </w:rPr>
        <w:t>a</w:t>
      </w:r>
      <w:r w:rsidRPr="00C73649">
        <w:rPr>
          <w:rFonts w:ascii="Times New Roman" w:hAnsi="Times New Roman"/>
          <w:sz w:val="24"/>
          <w:szCs w:val="24"/>
        </w:rPr>
        <w:t xml:space="preserve">, Damon </w:t>
      </w:r>
      <w:r w:rsidR="00DF5615">
        <w:rPr>
          <w:rFonts w:ascii="Times New Roman" w:hAnsi="Times New Roman"/>
          <w:sz w:val="24"/>
          <w:szCs w:val="24"/>
        </w:rPr>
        <w:t xml:space="preserve">M. </w:t>
      </w:r>
      <w:r w:rsidRPr="00C73649">
        <w:rPr>
          <w:rFonts w:ascii="Times New Roman" w:hAnsi="Times New Roman"/>
          <w:sz w:val="24"/>
          <w:szCs w:val="24"/>
        </w:rPr>
        <w:t>Dalrymple</w:t>
      </w:r>
      <w:r w:rsidRPr="00C73649">
        <w:rPr>
          <w:rFonts w:ascii="Times New Roman" w:hAnsi="Times New Roman"/>
          <w:sz w:val="24"/>
          <w:szCs w:val="24"/>
          <w:vertAlign w:val="superscript"/>
        </w:rPr>
        <w:t>b</w:t>
      </w:r>
      <w:r w:rsidRPr="00C73649">
        <w:rPr>
          <w:rFonts w:ascii="Times New Roman" w:hAnsi="Times New Roman"/>
          <w:sz w:val="24"/>
          <w:szCs w:val="24"/>
        </w:rPr>
        <w:t>, Abu T.M. Serajuddin</w:t>
      </w:r>
      <w:r w:rsidRPr="00C73649">
        <w:rPr>
          <w:rFonts w:ascii="Times New Roman" w:hAnsi="Times New Roman"/>
          <w:sz w:val="24"/>
          <w:szCs w:val="24"/>
          <w:vertAlign w:val="superscript"/>
        </w:rPr>
        <w:t>a</w:t>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vertAlign w:val="superscript"/>
        </w:rPr>
        <w:t>a</w:t>
      </w:r>
      <w:r w:rsidRPr="00C73649">
        <w:rPr>
          <w:rFonts w:ascii="Times New Roman" w:hAnsi="Times New Roman"/>
          <w:sz w:val="24"/>
          <w:szCs w:val="24"/>
        </w:rPr>
        <w:t xml:space="preserve">College of Pharmacy and Allied Health Professions, St. John’s University, 8000 Utopia Parkway, Queens, NY 11439, USA  </w:t>
      </w:r>
    </w:p>
    <w:p w:rsidR="00354FB6" w:rsidRPr="00C73649" w:rsidRDefault="00354FB6" w:rsidP="00354FB6">
      <w:pPr>
        <w:pBdr>
          <w:bottom w:val="single" w:sz="12" w:space="1" w:color="auto"/>
        </w:pBdr>
        <w:spacing w:line="480" w:lineRule="auto"/>
        <w:jc w:val="both"/>
        <w:rPr>
          <w:rFonts w:ascii="Times New Roman" w:hAnsi="Times New Roman"/>
          <w:sz w:val="24"/>
          <w:szCs w:val="24"/>
        </w:rPr>
      </w:pPr>
      <w:r w:rsidRPr="00C73649">
        <w:rPr>
          <w:rFonts w:ascii="Times New Roman" w:hAnsi="Times New Roman"/>
          <w:sz w:val="24"/>
          <w:szCs w:val="24"/>
          <w:vertAlign w:val="superscript"/>
        </w:rPr>
        <w:t>b</w:t>
      </w:r>
      <w:r w:rsidRPr="00C73649">
        <w:rPr>
          <w:rFonts w:ascii="Times New Roman" w:hAnsi="Times New Roman"/>
          <w:sz w:val="24"/>
          <w:szCs w:val="24"/>
        </w:rPr>
        <w:t xml:space="preserve">ABITEC Corporation, </w:t>
      </w:r>
      <w:r w:rsidR="00DF5615">
        <w:rPr>
          <w:rFonts w:ascii="Times New Roman" w:hAnsi="Times New Roman"/>
          <w:sz w:val="24"/>
          <w:szCs w:val="24"/>
        </w:rPr>
        <w:t>501W 1</w:t>
      </w:r>
      <w:r w:rsidR="00DF5615">
        <w:rPr>
          <w:rFonts w:ascii="Times New Roman" w:hAnsi="Times New Roman"/>
          <w:sz w:val="24"/>
          <w:szCs w:val="24"/>
          <w:vertAlign w:val="superscript"/>
        </w:rPr>
        <w:t xml:space="preserve">st </w:t>
      </w:r>
      <w:r w:rsidR="00DF5615">
        <w:rPr>
          <w:rFonts w:ascii="Times New Roman" w:hAnsi="Times New Roman"/>
          <w:sz w:val="24"/>
          <w:szCs w:val="24"/>
        </w:rPr>
        <w:t xml:space="preserve">Avenue, </w:t>
      </w:r>
      <w:r w:rsidRPr="00C73649">
        <w:rPr>
          <w:rFonts w:ascii="Times New Roman" w:hAnsi="Times New Roman"/>
          <w:sz w:val="24"/>
          <w:szCs w:val="24"/>
        </w:rPr>
        <w:t>Columbus, OH 43215, USA</w:t>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Correspondence: Abu T. M. Serajuddin (Telephone: 718-990-7822; Fax: 718-990-1877; E-mail: </w:t>
      </w:r>
      <w:hyperlink r:id="rId6" w:history="1">
        <w:r w:rsidRPr="00C73649">
          <w:rPr>
            <w:rStyle w:val="Hyperlink"/>
            <w:rFonts w:ascii="Times New Roman" w:hAnsi="Times New Roman"/>
            <w:sz w:val="24"/>
            <w:szCs w:val="24"/>
          </w:rPr>
          <w:t>serajuda@stjohns.edu</w:t>
        </w:r>
      </w:hyperlink>
    </w:p>
    <w:p w:rsidR="00354FB6" w:rsidRPr="00C73649" w:rsidRDefault="00354FB6" w:rsidP="00354FB6">
      <w:pPr>
        <w:spacing w:line="480" w:lineRule="auto"/>
        <w:jc w:val="both"/>
        <w:rPr>
          <w:rFonts w:ascii="Times New Roman" w:hAnsi="Times New Roman"/>
          <w:b/>
          <w:sz w:val="24"/>
          <w:szCs w:val="24"/>
        </w:rPr>
      </w:pPr>
      <w:r w:rsidRPr="00C73649">
        <w:rPr>
          <w:rFonts w:ascii="Times New Roman" w:hAnsi="Times New Roman"/>
          <w:sz w:val="24"/>
          <w:szCs w:val="24"/>
        </w:rPr>
        <w:br w:type="page"/>
      </w:r>
      <w:r w:rsidR="005D52CD" w:rsidRPr="00C73649">
        <w:rPr>
          <w:rFonts w:ascii="Times New Roman" w:hAnsi="Times New Roman"/>
          <w:b/>
          <w:bCs/>
          <w:sz w:val="24"/>
          <w:szCs w:val="24"/>
        </w:rPr>
        <w:lastRenderedPageBreak/>
        <w:t xml:space="preserve">ABSTRACT </w:t>
      </w:r>
    </w:p>
    <w:p w:rsidR="00354FB6" w:rsidRDefault="00A35051" w:rsidP="00354FB6">
      <w:pPr>
        <w:spacing w:line="480" w:lineRule="auto"/>
        <w:jc w:val="both"/>
        <w:rPr>
          <w:rFonts w:ascii="Times New Roman" w:hAnsi="Times New Roman"/>
          <w:sz w:val="24"/>
          <w:szCs w:val="24"/>
        </w:rPr>
      </w:pPr>
      <w:r>
        <w:rPr>
          <w:rFonts w:ascii="Times New Roman" w:hAnsi="Times New Roman"/>
          <w:sz w:val="24"/>
          <w:szCs w:val="24"/>
        </w:rPr>
        <w:t>S</w:t>
      </w:r>
      <w:r w:rsidR="00354FB6" w:rsidRPr="00C73649">
        <w:rPr>
          <w:rFonts w:ascii="Times New Roman" w:hAnsi="Times New Roman"/>
          <w:sz w:val="24"/>
          <w:szCs w:val="24"/>
        </w:rPr>
        <w:t>elf-emulsifying drug delivery system</w:t>
      </w:r>
      <w:r>
        <w:rPr>
          <w:rFonts w:ascii="Times New Roman" w:hAnsi="Times New Roman"/>
          <w:sz w:val="24"/>
          <w:szCs w:val="24"/>
        </w:rPr>
        <w:t>s</w:t>
      </w:r>
      <w:r w:rsidR="00354FB6" w:rsidRPr="00C73649">
        <w:rPr>
          <w:rFonts w:ascii="Times New Roman" w:hAnsi="Times New Roman"/>
          <w:sz w:val="24"/>
          <w:szCs w:val="24"/>
        </w:rPr>
        <w:t xml:space="preserve"> (SEDDS) </w:t>
      </w:r>
      <w:r>
        <w:rPr>
          <w:rFonts w:ascii="Times New Roman" w:hAnsi="Times New Roman"/>
          <w:sz w:val="24"/>
          <w:szCs w:val="24"/>
        </w:rPr>
        <w:t xml:space="preserve">are usually </w:t>
      </w:r>
      <w:r w:rsidR="00354FB6" w:rsidRPr="00C73649">
        <w:rPr>
          <w:rFonts w:ascii="Times New Roman" w:hAnsi="Times New Roman"/>
          <w:sz w:val="24"/>
          <w:szCs w:val="24"/>
        </w:rPr>
        <w:t>isotropic liquid</w:t>
      </w:r>
      <w:r>
        <w:rPr>
          <w:rFonts w:ascii="Times New Roman" w:hAnsi="Times New Roman"/>
          <w:sz w:val="24"/>
          <w:szCs w:val="24"/>
        </w:rPr>
        <w:t xml:space="preserve">s consisting of </w:t>
      </w:r>
      <w:r w:rsidR="00354FB6" w:rsidRPr="00C73649">
        <w:rPr>
          <w:rFonts w:ascii="Times New Roman" w:hAnsi="Times New Roman"/>
          <w:sz w:val="24"/>
          <w:szCs w:val="24"/>
        </w:rPr>
        <w:t>drug</w:t>
      </w:r>
      <w:r>
        <w:rPr>
          <w:rFonts w:ascii="Times New Roman" w:hAnsi="Times New Roman"/>
          <w:sz w:val="24"/>
          <w:szCs w:val="24"/>
        </w:rPr>
        <w:t>s</w:t>
      </w:r>
      <w:r w:rsidR="00354FB6" w:rsidRPr="00C73649">
        <w:rPr>
          <w:rFonts w:ascii="Times New Roman" w:hAnsi="Times New Roman"/>
          <w:sz w:val="24"/>
          <w:szCs w:val="24"/>
        </w:rPr>
        <w:t>, lipid</w:t>
      </w:r>
      <w:r>
        <w:rPr>
          <w:rFonts w:ascii="Times New Roman" w:hAnsi="Times New Roman"/>
          <w:sz w:val="24"/>
          <w:szCs w:val="24"/>
        </w:rPr>
        <w:t>s</w:t>
      </w:r>
      <w:r w:rsidR="00354FB6" w:rsidRPr="00C73649">
        <w:rPr>
          <w:rFonts w:ascii="Times New Roman" w:hAnsi="Times New Roman"/>
          <w:sz w:val="24"/>
          <w:szCs w:val="24"/>
        </w:rPr>
        <w:t>, surfactant</w:t>
      </w:r>
      <w:r>
        <w:rPr>
          <w:rFonts w:ascii="Times New Roman" w:hAnsi="Times New Roman"/>
          <w:sz w:val="24"/>
          <w:szCs w:val="24"/>
        </w:rPr>
        <w:t>s</w:t>
      </w:r>
      <w:r w:rsidR="00354FB6" w:rsidRPr="00C73649">
        <w:rPr>
          <w:rFonts w:ascii="Times New Roman" w:hAnsi="Times New Roman"/>
          <w:sz w:val="24"/>
          <w:szCs w:val="24"/>
        </w:rPr>
        <w:t xml:space="preserve"> and/or co surfactant</w:t>
      </w:r>
      <w:r>
        <w:rPr>
          <w:rFonts w:ascii="Times New Roman" w:hAnsi="Times New Roman"/>
          <w:sz w:val="24"/>
          <w:szCs w:val="24"/>
        </w:rPr>
        <w:t>s</w:t>
      </w:r>
      <w:r w:rsidR="00354FB6" w:rsidRPr="00C73649">
        <w:rPr>
          <w:rFonts w:ascii="Times New Roman" w:hAnsi="Times New Roman"/>
          <w:sz w:val="24"/>
          <w:szCs w:val="24"/>
        </w:rPr>
        <w:t xml:space="preserve"> that spontaneously form fine oil-in-water emulsion in contact with water. Since a solid dosage form </w:t>
      </w:r>
      <w:r w:rsidR="00CA1766">
        <w:rPr>
          <w:rFonts w:ascii="Times New Roman" w:hAnsi="Times New Roman"/>
          <w:sz w:val="24"/>
          <w:szCs w:val="24"/>
        </w:rPr>
        <w:t>has better patient acceptance than</w:t>
      </w:r>
      <w:r w:rsidR="00354FB6" w:rsidRPr="00C73649">
        <w:rPr>
          <w:rFonts w:ascii="Times New Roman" w:hAnsi="Times New Roman"/>
          <w:sz w:val="24"/>
          <w:szCs w:val="24"/>
        </w:rPr>
        <w:t xml:space="preserve"> a liquid, </w:t>
      </w:r>
      <w:r w:rsidR="00A8027C">
        <w:rPr>
          <w:rFonts w:ascii="Times New Roman" w:hAnsi="Times New Roman"/>
          <w:sz w:val="24"/>
          <w:szCs w:val="24"/>
        </w:rPr>
        <w:t>it was investigated</w:t>
      </w:r>
      <w:r w:rsidR="00354FB6" w:rsidRPr="00C73649">
        <w:rPr>
          <w:rFonts w:ascii="Times New Roman" w:hAnsi="Times New Roman"/>
          <w:sz w:val="24"/>
          <w:szCs w:val="24"/>
        </w:rPr>
        <w:t xml:space="preserve"> whether liquid SEDDS containing medium-chain lipids (mono- or tri-glycerides) may be converted to solids</w:t>
      </w:r>
      <w:r w:rsidR="008F3B09">
        <w:rPr>
          <w:rFonts w:ascii="Times New Roman" w:hAnsi="Times New Roman"/>
          <w:sz w:val="24"/>
          <w:szCs w:val="24"/>
        </w:rPr>
        <w:t xml:space="preserve"> or semisolids </w:t>
      </w:r>
      <w:r w:rsidR="00354FB6" w:rsidRPr="00C73649">
        <w:rPr>
          <w:rFonts w:ascii="Times New Roman" w:hAnsi="Times New Roman"/>
          <w:sz w:val="24"/>
          <w:szCs w:val="24"/>
        </w:rPr>
        <w:t xml:space="preserve">using </w:t>
      </w:r>
      <w:r w:rsidR="008F3B09">
        <w:rPr>
          <w:rFonts w:ascii="Times New Roman" w:hAnsi="Times New Roman"/>
          <w:sz w:val="24"/>
          <w:szCs w:val="24"/>
        </w:rPr>
        <w:t xml:space="preserve">the </w:t>
      </w:r>
      <w:r w:rsidR="00354FB6" w:rsidRPr="00C73649">
        <w:rPr>
          <w:rFonts w:ascii="Times New Roman" w:hAnsi="Times New Roman"/>
          <w:sz w:val="24"/>
          <w:szCs w:val="24"/>
        </w:rPr>
        <w:t>lauroyl polyoxyl glycerides (Acconon C-44</w:t>
      </w:r>
      <w:r w:rsidR="00354FB6" w:rsidRPr="00C73649">
        <w:rPr>
          <w:rFonts w:ascii="Times New Roman" w:hAnsi="Times New Roman"/>
          <w:sz w:val="24"/>
          <w:szCs w:val="24"/>
          <w:vertAlign w:val="superscript"/>
        </w:rPr>
        <w:t>®</w:t>
      </w:r>
      <w:r w:rsidR="00354FB6" w:rsidRPr="00C73649">
        <w:rPr>
          <w:rFonts w:ascii="Times New Roman" w:hAnsi="Times New Roman"/>
          <w:sz w:val="24"/>
          <w:szCs w:val="24"/>
        </w:rPr>
        <w:t>; ABITEC</w:t>
      </w:r>
      <w:r w:rsidR="008F3B09">
        <w:rPr>
          <w:rFonts w:ascii="Times New Roman" w:hAnsi="Times New Roman"/>
          <w:sz w:val="24"/>
          <w:szCs w:val="24"/>
        </w:rPr>
        <w:t>,</w:t>
      </w:r>
      <w:r w:rsidR="00354FB6" w:rsidRPr="00C73649">
        <w:rPr>
          <w:rFonts w:ascii="Times New Roman" w:hAnsi="Times New Roman"/>
          <w:sz w:val="24"/>
          <w:szCs w:val="24"/>
        </w:rPr>
        <w:t xml:space="preserve"> and Gelucire 44/14</w:t>
      </w:r>
      <w:r w:rsidR="00354FB6" w:rsidRPr="00C73649">
        <w:rPr>
          <w:rFonts w:ascii="Times New Roman" w:hAnsi="Times New Roman"/>
          <w:sz w:val="24"/>
          <w:szCs w:val="24"/>
          <w:vertAlign w:val="superscript"/>
        </w:rPr>
        <w:t>®</w:t>
      </w:r>
      <w:r w:rsidR="00354FB6" w:rsidRPr="00C73649">
        <w:rPr>
          <w:rFonts w:ascii="Times New Roman" w:hAnsi="Times New Roman"/>
          <w:sz w:val="24"/>
          <w:szCs w:val="24"/>
        </w:rPr>
        <w:t>; Ga</w:t>
      </w:r>
      <w:r w:rsidR="008F3B09">
        <w:rPr>
          <w:rFonts w:ascii="Times New Roman" w:hAnsi="Times New Roman"/>
          <w:sz w:val="24"/>
          <w:szCs w:val="24"/>
        </w:rPr>
        <w:t>ttefosse) as solidifying agents</w:t>
      </w:r>
      <w:r w:rsidR="00354FB6" w:rsidRPr="00C73649">
        <w:rPr>
          <w:rFonts w:ascii="Times New Roman" w:hAnsi="Times New Roman"/>
          <w:sz w:val="24"/>
          <w:szCs w:val="24"/>
        </w:rPr>
        <w:t>.  Acconon C-44</w:t>
      </w:r>
      <w:r w:rsidR="00354FB6" w:rsidRPr="00C73649">
        <w:rPr>
          <w:rFonts w:ascii="Times New Roman" w:hAnsi="Times New Roman"/>
          <w:sz w:val="24"/>
          <w:szCs w:val="24"/>
          <w:vertAlign w:val="superscript"/>
        </w:rPr>
        <w:t xml:space="preserve"> </w:t>
      </w:r>
      <w:r w:rsidR="00354FB6" w:rsidRPr="00C73649">
        <w:rPr>
          <w:rFonts w:ascii="Times New Roman" w:hAnsi="Times New Roman"/>
          <w:sz w:val="24"/>
          <w:szCs w:val="24"/>
        </w:rPr>
        <w:t>and Gelucire 44/14</w:t>
      </w:r>
      <w:r w:rsidR="008F3B09">
        <w:rPr>
          <w:rFonts w:ascii="Times New Roman" w:hAnsi="Times New Roman"/>
          <w:sz w:val="24"/>
          <w:szCs w:val="24"/>
        </w:rPr>
        <w:t xml:space="preserve"> </w:t>
      </w:r>
      <w:r w:rsidR="00354FB6" w:rsidRPr="00C73649">
        <w:rPr>
          <w:rFonts w:ascii="Times New Roman" w:hAnsi="Times New Roman"/>
          <w:sz w:val="24"/>
          <w:szCs w:val="24"/>
        </w:rPr>
        <w:t>were melted at 65</w:t>
      </w:r>
      <w:r w:rsidR="00354FB6" w:rsidRPr="00C73649">
        <w:rPr>
          <w:rFonts w:ascii="Times New Roman"/>
          <w:sz w:val="24"/>
          <w:szCs w:val="24"/>
        </w:rPr>
        <w:t>⁰</w:t>
      </w:r>
      <w:r w:rsidR="00354FB6" w:rsidRPr="00C73649">
        <w:rPr>
          <w:rFonts w:ascii="Times New Roman" w:hAnsi="Times New Roman"/>
          <w:sz w:val="24"/>
          <w:szCs w:val="24"/>
        </w:rPr>
        <w:t xml:space="preserve">C, </w:t>
      </w:r>
      <w:r w:rsidR="00A8027C">
        <w:rPr>
          <w:rFonts w:ascii="Times New Roman" w:hAnsi="Times New Roman"/>
          <w:sz w:val="24"/>
          <w:szCs w:val="24"/>
        </w:rPr>
        <w:t>the</w:t>
      </w:r>
      <w:r w:rsidR="00354FB6" w:rsidRPr="00C73649">
        <w:rPr>
          <w:rFonts w:ascii="Times New Roman" w:hAnsi="Times New Roman"/>
          <w:sz w:val="24"/>
          <w:szCs w:val="24"/>
        </w:rPr>
        <w:t xml:space="preserve"> liquid lipid</w:t>
      </w:r>
      <w:r w:rsidR="008F3B09">
        <w:rPr>
          <w:rFonts w:ascii="Times New Roman" w:hAnsi="Times New Roman"/>
          <w:sz w:val="24"/>
          <w:szCs w:val="24"/>
        </w:rPr>
        <w:t>s</w:t>
      </w:r>
      <w:r w:rsidR="00354FB6" w:rsidRPr="00C73649">
        <w:rPr>
          <w:rFonts w:ascii="Times New Roman" w:hAnsi="Times New Roman"/>
          <w:sz w:val="24"/>
          <w:szCs w:val="24"/>
        </w:rPr>
        <w:t xml:space="preserve"> or </w:t>
      </w:r>
      <w:r w:rsidR="00A8027C">
        <w:rPr>
          <w:rFonts w:ascii="Times New Roman" w:hAnsi="Times New Roman"/>
          <w:sz w:val="24"/>
          <w:szCs w:val="24"/>
        </w:rPr>
        <w:t>the</w:t>
      </w:r>
      <w:r w:rsidR="00354FB6" w:rsidRPr="00C73649">
        <w:rPr>
          <w:rFonts w:ascii="Times New Roman" w:hAnsi="Times New Roman"/>
          <w:sz w:val="24"/>
          <w:szCs w:val="24"/>
        </w:rPr>
        <w:t xml:space="preserve"> liquid lipid-surfactant mixture</w:t>
      </w:r>
      <w:r w:rsidR="008F3B09">
        <w:rPr>
          <w:rFonts w:ascii="Times New Roman" w:hAnsi="Times New Roman"/>
          <w:sz w:val="24"/>
          <w:szCs w:val="24"/>
        </w:rPr>
        <w:t>s,</w:t>
      </w:r>
      <w:r w:rsidR="00354FB6" w:rsidRPr="00C73649">
        <w:rPr>
          <w:rFonts w:ascii="Times New Roman" w:hAnsi="Times New Roman"/>
          <w:sz w:val="24"/>
          <w:szCs w:val="24"/>
        </w:rPr>
        <w:t xml:space="preserve"> wi</w:t>
      </w:r>
      <w:r w:rsidR="008F3B09">
        <w:rPr>
          <w:rFonts w:ascii="Times New Roman" w:hAnsi="Times New Roman"/>
          <w:sz w:val="24"/>
          <w:szCs w:val="24"/>
        </w:rPr>
        <w:t>th and without dissolved drug (p</w:t>
      </w:r>
      <w:r w:rsidR="00354FB6" w:rsidRPr="00C73649">
        <w:rPr>
          <w:rFonts w:ascii="Times New Roman" w:hAnsi="Times New Roman"/>
          <w:sz w:val="24"/>
          <w:szCs w:val="24"/>
        </w:rPr>
        <w:t>robucol)</w:t>
      </w:r>
      <w:r w:rsidR="008F3B09">
        <w:rPr>
          <w:rFonts w:ascii="Times New Roman" w:hAnsi="Times New Roman"/>
          <w:sz w:val="24"/>
          <w:szCs w:val="24"/>
        </w:rPr>
        <w:t>,</w:t>
      </w:r>
      <w:r w:rsidR="00354FB6" w:rsidRPr="00C73649">
        <w:rPr>
          <w:rFonts w:ascii="Times New Roman" w:hAnsi="Times New Roman"/>
          <w:sz w:val="24"/>
          <w:szCs w:val="24"/>
        </w:rPr>
        <w:t xml:space="preserve"> were </w:t>
      </w:r>
      <w:r w:rsidR="00A8027C">
        <w:rPr>
          <w:rFonts w:ascii="Times New Roman" w:hAnsi="Times New Roman"/>
          <w:sz w:val="24"/>
          <w:szCs w:val="24"/>
        </w:rPr>
        <w:t>mixed with</w:t>
      </w:r>
      <w:r w:rsidR="00CA1766">
        <w:rPr>
          <w:rFonts w:ascii="Times New Roman" w:hAnsi="Times New Roman"/>
          <w:sz w:val="24"/>
          <w:szCs w:val="24"/>
        </w:rPr>
        <w:t xml:space="preserve"> the melts</w:t>
      </w:r>
      <w:r w:rsidR="00354FB6" w:rsidRPr="00C73649">
        <w:rPr>
          <w:rFonts w:ascii="Times New Roman" w:hAnsi="Times New Roman"/>
          <w:sz w:val="24"/>
          <w:szCs w:val="24"/>
        </w:rPr>
        <w:t>, and the hot liquid</w:t>
      </w:r>
      <w:r w:rsidR="00A8027C">
        <w:rPr>
          <w:rFonts w:ascii="Times New Roman" w:hAnsi="Times New Roman"/>
          <w:sz w:val="24"/>
          <w:szCs w:val="24"/>
        </w:rPr>
        <w:t xml:space="preserve"> solutions</w:t>
      </w:r>
      <w:r w:rsidR="00354FB6" w:rsidRPr="00C73649">
        <w:rPr>
          <w:rFonts w:ascii="Times New Roman" w:hAnsi="Times New Roman"/>
          <w:sz w:val="24"/>
          <w:szCs w:val="24"/>
        </w:rPr>
        <w:t xml:space="preserve"> were filled into hard gelatin capsules. The </w:t>
      </w:r>
      <w:r w:rsidR="00CA1766">
        <w:rPr>
          <w:rFonts w:ascii="Times New Roman" w:hAnsi="Times New Roman"/>
          <w:sz w:val="24"/>
          <w:szCs w:val="24"/>
        </w:rPr>
        <w:t>solutions</w:t>
      </w:r>
      <w:r w:rsidR="00354FB6" w:rsidRPr="00C73649">
        <w:rPr>
          <w:rFonts w:ascii="Times New Roman" w:hAnsi="Times New Roman"/>
          <w:sz w:val="24"/>
          <w:szCs w:val="24"/>
        </w:rPr>
        <w:t xml:space="preserve"> </w:t>
      </w:r>
      <w:r w:rsidR="00A8027C">
        <w:rPr>
          <w:rFonts w:ascii="Times New Roman" w:hAnsi="Times New Roman"/>
          <w:sz w:val="24"/>
          <w:szCs w:val="24"/>
        </w:rPr>
        <w:t>solidified</w:t>
      </w:r>
      <w:r w:rsidR="00354FB6" w:rsidRPr="00C73649">
        <w:rPr>
          <w:rFonts w:ascii="Times New Roman" w:hAnsi="Times New Roman"/>
          <w:sz w:val="24"/>
          <w:szCs w:val="24"/>
        </w:rPr>
        <w:t xml:space="preserve"> inside capsules</w:t>
      </w:r>
      <w:r w:rsidR="00A8027C">
        <w:rPr>
          <w:rFonts w:ascii="Times New Roman" w:hAnsi="Times New Roman"/>
          <w:sz w:val="24"/>
          <w:szCs w:val="24"/>
        </w:rPr>
        <w:t xml:space="preserve"> when cooled to room temperature</w:t>
      </w:r>
      <w:r w:rsidR="00354FB6" w:rsidRPr="00C73649">
        <w:rPr>
          <w:rFonts w:ascii="Times New Roman" w:hAnsi="Times New Roman"/>
          <w:sz w:val="24"/>
          <w:szCs w:val="24"/>
        </w:rPr>
        <w:t xml:space="preserve">. </w:t>
      </w:r>
      <w:r w:rsidR="008F3B09" w:rsidRPr="00C73649">
        <w:rPr>
          <w:rFonts w:ascii="Times New Roman" w:hAnsi="Times New Roman"/>
          <w:sz w:val="24"/>
          <w:szCs w:val="24"/>
        </w:rPr>
        <w:t>Acconon C-44</w:t>
      </w:r>
      <w:r w:rsidR="008F3B09" w:rsidRPr="00C73649">
        <w:rPr>
          <w:rFonts w:ascii="Times New Roman" w:hAnsi="Times New Roman"/>
          <w:sz w:val="24"/>
          <w:szCs w:val="24"/>
          <w:vertAlign w:val="superscript"/>
        </w:rPr>
        <w:t xml:space="preserve"> </w:t>
      </w:r>
      <w:r w:rsidR="008F3B09" w:rsidRPr="00C73649">
        <w:rPr>
          <w:rFonts w:ascii="Times New Roman" w:hAnsi="Times New Roman"/>
          <w:sz w:val="24"/>
          <w:szCs w:val="24"/>
        </w:rPr>
        <w:t>and Gelucire 44/14</w:t>
      </w:r>
      <w:r w:rsidR="00354FB6" w:rsidRPr="00C73649">
        <w:rPr>
          <w:rFonts w:ascii="Times New Roman" w:hAnsi="Times New Roman"/>
          <w:sz w:val="24"/>
          <w:szCs w:val="24"/>
        </w:rPr>
        <w:t xml:space="preserve"> </w:t>
      </w:r>
      <w:r w:rsidR="00C97C0A">
        <w:rPr>
          <w:rFonts w:ascii="Times New Roman" w:hAnsi="Times New Roman"/>
          <w:sz w:val="24"/>
          <w:szCs w:val="24"/>
        </w:rPr>
        <w:t xml:space="preserve">had greater propensity of solidifying the </w:t>
      </w:r>
      <w:r w:rsidR="00354FB6" w:rsidRPr="00C73649">
        <w:rPr>
          <w:rFonts w:ascii="Times New Roman" w:hAnsi="Times New Roman"/>
          <w:sz w:val="24"/>
          <w:szCs w:val="24"/>
        </w:rPr>
        <w:t>triglyceride of medium chain fatty acids (Captex 355</w:t>
      </w:r>
      <w:r w:rsidR="00354FB6" w:rsidRPr="00C73649">
        <w:rPr>
          <w:rFonts w:ascii="Times New Roman" w:hAnsi="Times New Roman"/>
          <w:sz w:val="24"/>
          <w:szCs w:val="24"/>
          <w:vertAlign w:val="superscript"/>
        </w:rPr>
        <w:t>®</w:t>
      </w:r>
      <w:r w:rsidR="00C97C0A">
        <w:rPr>
          <w:rFonts w:ascii="Times New Roman" w:hAnsi="Times New Roman"/>
          <w:sz w:val="24"/>
          <w:szCs w:val="24"/>
        </w:rPr>
        <w:t>; ABITEC)</w:t>
      </w:r>
      <w:r w:rsidR="00354FB6" w:rsidRPr="00C73649">
        <w:rPr>
          <w:rFonts w:ascii="Times New Roman" w:hAnsi="Times New Roman"/>
          <w:sz w:val="24"/>
          <w:szCs w:val="24"/>
        </w:rPr>
        <w:t xml:space="preserve"> </w:t>
      </w:r>
      <w:r w:rsidR="006C50B4">
        <w:rPr>
          <w:rFonts w:ascii="Times New Roman" w:hAnsi="Times New Roman"/>
          <w:sz w:val="24"/>
          <w:szCs w:val="24"/>
        </w:rPr>
        <w:t>rather than</w:t>
      </w:r>
      <w:r w:rsidR="00354FB6" w:rsidRPr="00C73649">
        <w:rPr>
          <w:rFonts w:ascii="Times New Roman" w:hAnsi="Times New Roman"/>
          <w:sz w:val="24"/>
          <w:szCs w:val="24"/>
        </w:rPr>
        <w:t xml:space="preserve"> </w:t>
      </w:r>
      <w:r w:rsidR="00A8027C">
        <w:rPr>
          <w:rFonts w:ascii="Times New Roman" w:hAnsi="Times New Roman"/>
          <w:sz w:val="24"/>
          <w:szCs w:val="24"/>
        </w:rPr>
        <w:t>the monoglyceride</w:t>
      </w:r>
      <w:r w:rsidR="00354FB6" w:rsidRPr="00C73649">
        <w:rPr>
          <w:rFonts w:ascii="Times New Roman" w:hAnsi="Times New Roman"/>
          <w:sz w:val="24"/>
          <w:szCs w:val="24"/>
        </w:rPr>
        <w:t xml:space="preserve">. The powder </w:t>
      </w:r>
      <w:r w:rsidR="00C97C0A">
        <w:rPr>
          <w:rFonts w:ascii="Times New Roman" w:hAnsi="Times New Roman"/>
          <w:sz w:val="24"/>
          <w:szCs w:val="24"/>
        </w:rPr>
        <w:t>XRD</w:t>
      </w:r>
      <w:r w:rsidR="00354FB6" w:rsidRPr="00C73649">
        <w:rPr>
          <w:rFonts w:ascii="Times New Roman" w:hAnsi="Times New Roman"/>
          <w:sz w:val="24"/>
          <w:szCs w:val="24"/>
        </w:rPr>
        <w:t xml:space="preserve">, </w:t>
      </w:r>
      <w:r w:rsidR="00C97C0A">
        <w:rPr>
          <w:rFonts w:ascii="Times New Roman" w:hAnsi="Times New Roman"/>
          <w:sz w:val="24"/>
          <w:szCs w:val="24"/>
        </w:rPr>
        <w:t>DSC and microscopic analyse</w:t>
      </w:r>
      <w:r w:rsidR="00354FB6" w:rsidRPr="00C73649">
        <w:rPr>
          <w:rFonts w:ascii="Times New Roman" w:hAnsi="Times New Roman"/>
          <w:sz w:val="24"/>
          <w:szCs w:val="24"/>
        </w:rPr>
        <w:t>s indicated that the lauroyl polyoxyl glycerides crystallized at room temperature, while the lipid or the lipid-surfactant mixtures present in the formulations remained interspersed in between solids as a separate liquid phase. The drug remained dissolved in the liquid phase and there w</w:t>
      </w:r>
      <w:r w:rsidR="00A8027C">
        <w:rPr>
          <w:rFonts w:ascii="Times New Roman" w:hAnsi="Times New Roman"/>
          <w:sz w:val="24"/>
          <w:szCs w:val="24"/>
        </w:rPr>
        <w:t xml:space="preserve">as no crystallization of drug. </w:t>
      </w:r>
      <w:r w:rsidR="00C97C0A">
        <w:rPr>
          <w:rFonts w:ascii="Times New Roman" w:hAnsi="Times New Roman"/>
          <w:sz w:val="24"/>
          <w:szCs w:val="24"/>
        </w:rPr>
        <w:t>A</w:t>
      </w:r>
      <w:r w:rsidR="00C97C0A" w:rsidRPr="00C73649">
        <w:rPr>
          <w:rFonts w:ascii="Times New Roman" w:hAnsi="Times New Roman"/>
          <w:sz w:val="24"/>
          <w:szCs w:val="24"/>
        </w:rPr>
        <w:t>lthough Acconon C-44</w:t>
      </w:r>
      <w:r w:rsidR="00C97C0A" w:rsidRPr="00C73649">
        <w:rPr>
          <w:rFonts w:ascii="Times New Roman" w:hAnsi="Times New Roman"/>
          <w:sz w:val="24"/>
          <w:szCs w:val="24"/>
          <w:vertAlign w:val="superscript"/>
        </w:rPr>
        <w:t>®</w:t>
      </w:r>
      <w:r w:rsidR="00C97C0A" w:rsidRPr="00C73649">
        <w:rPr>
          <w:rFonts w:ascii="Times New Roman" w:hAnsi="Times New Roman"/>
          <w:sz w:val="24"/>
          <w:szCs w:val="24"/>
        </w:rPr>
        <w:t xml:space="preserve"> and Gelucire 44/14</w:t>
      </w:r>
      <w:r w:rsidR="00C97C0A" w:rsidRPr="00C73649">
        <w:rPr>
          <w:rFonts w:ascii="Times New Roman" w:hAnsi="Times New Roman"/>
          <w:sz w:val="24"/>
          <w:szCs w:val="24"/>
          <w:vertAlign w:val="superscript"/>
        </w:rPr>
        <w:t xml:space="preserve">® </w:t>
      </w:r>
      <w:r w:rsidR="00C97C0A" w:rsidRPr="00C73649">
        <w:rPr>
          <w:rFonts w:ascii="Times New Roman" w:hAnsi="Times New Roman"/>
          <w:sz w:val="24"/>
          <w:szCs w:val="24"/>
        </w:rPr>
        <w:t>are</w:t>
      </w:r>
      <w:r w:rsidR="00C97C0A">
        <w:rPr>
          <w:rFonts w:ascii="Times New Roman" w:hAnsi="Times New Roman"/>
          <w:sz w:val="24"/>
          <w:szCs w:val="24"/>
        </w:rPr>
        <w:t xml:space="preserve"> themselves surface active</w:t>
      </w:r>
      <w:r w:rsidR="00C97C0A" w:rsidRPr="00C73649">
        <w:rPr>
          <w:rFonts w:ascii="Times New Roman" w:hAnsi="Times New Roman"/>
          <w:sz w:val="24"/>
          <w:szCs w:val="24"/>
        </w:rPr>
        <w:t>,</w:t>
      </w:r>
      <w:r w:rsidR="00C97C0A">
        <w:rPr>
          <w:rFonts w:ascii="Times New Roman" w:hAnsi="Times New Roman"/>
          <w:sz w:val="24"/>
          <w:szCs w:val="24"/>
        </w:rPr>
        <w:t xml:space="preserve"> t</w:t>
      </w:r>
      <w:r w:rsidR="00A8027C">
        <w:rPr>
          <w:rFonts w:ascii="Times New Roman" w:hAnsi="Times New Roman"/>
          <w:sz w:val="24"/>
          <w:szCs w:val="24"/>
        </w:rPr>
        <w:t>he d</w:t>
      </w:r>
      <w:r w:rsidR="00354FB6" w:rsidRPr="00C73649">
        <w:rPr>
          <w:rFonts w:ascii="Times New Roman" w:hAnsi="Times New Roman"/>
          <w:sz w:val="24"/>
          <w:szCs w:val="24"/>
        </w:rPr>
        <w:t>ispersi</w:t>
      </w:r>
      <w:r w:rsidR="00C97C0A">
        <w:rPr>
          <w:rFonts w:ascii="Times New Roman" w:hAnsi="Times New Roman"/>
          <w:sz w:val="24"/>
          <w:szCs w:val="24"/>
        </w:rPr>
        <w:t xml:space="preserve">on testing </w:t>
      </w:r>
      <w:r w:rsidR="00CA1766">
        <w:rPr>
          <w:rFonts w:ascii="Times New Roman" w:hAnsi="Times New Roman"/>
          <w:sz w:val="24"/>
          <w:szCs w:val="24"/>
        </w:rPr>
        <w:t xml:space="preserve">by the </w:t>
      </w:r>
      <w:r w:rsidR="00354FB6" w:rsidRPr="00C73649">
        <w:rPr>
          <w:rFonts w:ascii="Times New Roman" w:hAnsi="Times New Roman"/>
          <w:sz w:val="24"/>
          <w:szCs w:val="24"/>
        </w:rPr>
        <w:t xml:space="preserve">USP apparatus II at 50 rpm and 37 </w:t>
      </w:r>
      <w:r w:rsidR="00354FB6" w:rsidRPr="00C73649">
        <w:rPr>
          <w:rFonts w:ascii="Times New Roman" w:hAnsi="Cambria Math"/>
          <w:sz w:val="24"/>
          <w:szCs w:val="24"/>
        </w:rPr>
        <w:t>⁰</w:t>
      </w:r>
      <w:r w:rsidR="00C97C0A">
        <w:rPr>
          <w:rFonts w:ascii="Times New Roman" w:hAnsi="Times New Roman"/>
          <w:sz w:val="24"/>
          <w:szCs w:val="24"/>
        </w:rPr>
        <w:t xml:space="preserve">C </w:t>
      </w:r>
      <w:r w:rsidR="00CA1766" w:rsidRPr="00C73649">
        <w:rPr>
          <w:rFonts w:ascii="Times New Roman" w:hAnsi="Times New Roman"/>
          <w:sz w:val="24"/>
          <w:szCs w:val="24"/>
        </w:rPr>
        <w:t xml:space="preserve">using 250 mL </w:t>
      </w:r>
      <w:r w:rsidR="00CA1766">
        <w:rPr>
          <w:rFonts w:ascii="Times New Roman" w:hAnsi="Times New Roman"/>
          <w:sz w:val="24"/>
          <w:szCs w:val="24"/>
        </w:rPr>
        <w:t xml:space="preserve">of </w:t>
      </w:r>
      <w:r w:rsidR="00CA1766" w:rsidRPr="00C73649">
        <w:rPr>
          <w:rFonts w:ascii="Times New Roman" w:hAnsi="Times New Roman"/>
          <w:sz w:val="24"/>
          <w:szCs w:val="24"/>
        </w:rPr>
        <w:t xml:space="preserve">0.01N HCl as </w:t>
      </w:r>
      <w:r w:rsidR="00CA1766">
        <w:rPr>
          <w:rFonts w:ascii="Times New Roman" w:hAnsi="Times New Roman"/>
          <w:sz w:val="24"/>
          <w:szCs w:val="24"/>
        </w:rPr>
        <w:t xml:space="preserve">the dispersion medium </w:t>
      </w:r>
      <w:r w:rsidR="00C97C0A">
        <w:rPr>
          <w:rFonts w:ascii="Times New Roman" w:hAnsi="Times New Roman"/>
          <w:sz w:val="24"/>
          <w:szCs w:val="24"/>
        </w:rPr>
        <w:t>showed that</w:t>
      </w:r>
      <w:r w:rsidR="00354FB6" w:rsidRPr="00C73649">
        <w:rPr>
          <w:rFonts w:ascii="Times New Roman" w:hAnsi="Times New Roman"/>
          <w:sz w:val="24"/>
          <w:szCs w:val="24"/>
        </w:rPr>
        <w:t xml:space="preserve"> a second surfactant (Cremophor EL</w:t>
      </w:r>
      <w:r w:rsidR="00354FB6" w:rsidRPr="00C73649">
        <w:rPr>
          <w:rFonts w:ascii="Times New Roman" w:hAnsi="Times New Roman"/>
          <w:sz w:val="24"/>
          <w:szCs w:val="24"/>
          <w:vertAlign w:val="superscript"/>
        </w:rPr>
        <w:t>®</w:t>
      </w:r>
      <w:r w:rsidR="00354FB6" w:rsidRPr="00C73649">
        <w:rPr>
          <w:rFonts w:ascii="Times New Roman" w:hAnsi="Times New Roman"/>
          <w:sz w:val="24"/>
          <w:szCs w:val="24"/>
        </w:rPr>
        <w:t xml:space="preserve">; BASF) was needed </w:t>
      </w:r>
      <w:r w:rsidR="00C97C0A">
        <w:rPr>
          <w:rFonts w:ascii="Times New Roman" w:hAnsi="Times New Roman"/>
          <w:sz w:val="24"/>
          <w:szCs w:val="24"/>
        </w:rPr>
        <w:t xml:space="preserve">in the </w:t>
      </w:r>
      <w:r w:rsidR="006C50B4">
        <w:rPr>
          <w:rFonts w:ascii="Times New Roman" w:hAnsi="Times New Roman"/>
          <w:sz w:val="24"/>
          <w:szCs w:val="24"/>
        </w:rPr>
        <w:t xml:space="preserve">solid formulation </w:t>
      </w:r>
      <w:r w:rsidR="00354FB6" w:rsidRPr="00C73649">
        <w:rPr>
          <w:rFonts w:ascii="Times New Roman" w:hAnsi="Times New Roman"/>
          <w:sz w:val="24"/>
          <w:szCs w:val="24"/>
        </w:rPr>
        <w:t xml:space="preserve">to maximize drug release and </w:t>
      </w:r>
      <w:r w:rsidR="00A8027C" w:rsidRPr="00C73649">
        <w:rPr>
          <w:rFonts w:ascii="Times New Roman" w:hAnsi="Times New Roman"/>
          <w:sz w:val="24"/>
          <w:szCs w:val="24"/>
        </w:rPr>
        <w:t>dispersion</w:t>
      </w:r>
      <w:r w:rsidR="00354FB6" w:rsidRPr="00C73649">
        <w:rPr>
          <w:rFonts w:ascii="Times New Roman" w:hAnsi="Times New Roman"/>
          <w:sz w:val="24"/>
          <w:szCs w:val="24"/>
        </w:rPr>
        <w:t xml:space="preserve">. Formulations containing 1:1 and 3:1 </w:t>
      </w:r>
      <w:r w:rsidR="006C50B4">
        <w:rPr>
          <w:rFonts w:ascii="Times New Roman" w:hAnsi="Times New Roman"/>
          <w:sz w:val="24"/>
          <w:szCs w:val="24"/>
        </w:rPr>
        <w:t xml:space="preserve">w/w </w:t>
      </w:r>
      <w:r w:rsidR="00354FB6" w:rsidRPr="00C73649">
        <w:rPr>
          <w:rFonts w:ascii="Times New Roman" w:hAnsi="Times New Roman"/>
          <w:sz w:val="24"/>
          <w:szCs w:val="24"/>
        </w:rPr>
        <w:t>ratios of Captex 355 and Cremophor EL produced lipid particles in the range of 200 to 4</w:t>
      </w:r>
      <w:r w:rsidR="00354FB6">
        <w:rPr>
          <w:rFonts w:ascii="Times New Roman" w:hAnsi="Times New Roman"/>
          <w:sz w:val="24"/>
          <w:szCs w:val="24"/>
        </w:rPr>
        <w:t>5</w:t>
      </w:r>
      <w:r w:rsidR="00354FB6" w:rsidRPr="00C73649">
        <w:rPr>
          <w:rFonts w:ascii="Times New Roman" w:hAnsi="Times New Roman"/>
          <w:sz w:val="24"/>
          <w:szCs w:val="24"/>
        </w:rPr>
        <w:t xml:space="preserve">0 nm. Thus, a novel approach of preparing </w:t>
      </w:r>
      <w:r w:rsidR="00474EEE">
        <w:rPr>
          <w:rFonts w:ascii="Times New Roman" w:hAnsi="Times New Roman"/>
          <w:sz w:val="24"/>
          <w:szCs w:val="24"/>
        </w:rPr>
        <w:t xml:space="preserve">solid </w:t>
      </w:r>
      <w:r w:rsidR="00354FB6" w:rsidRPr="00C73649">
        <w:rPr>
          <w:rFonts w:ascii="Times New Roman" w:hAnsi="Times New Roman"/>
          <w:sz w:val="24"/>
          <w:szCs w:val="24"/>
        </w:rPr>
        <w:t xml:space="preserve">SEDDS </w:t>
      </w:r>
      <w:r w:rsidR="00474EEE">
        <w:rPr>
          <w:rFonts w:ascii="Times New Roman" w:hAnsi="Times New Roman"/>
          <w:sz w:val="24"/>
          <w:szCs w:val="24"/>
        </w:rPr>
        <w:t xml:space="preserve">is presented </w:t>
      </w:r>
      <w:r w:rsidR="00354FB6" w:rsidRPr="00C73649">
        <w:rPr>
          <w:rFonts w:ascii="Times New Roman" w:hAnsi="Times New Roman"/>
          <w:sz w:val="24"/>
          <w:szCs w:val="24"/>
        </w:rPr>
        <w:t>that results into very fine emulsi</w:t>
      </w:r>
      <w:r w:rsidR="00CA1766">
        <w:rPr>
          <w:rFonts w:ascii="Times New Roman" w:hAnsi="Times New Roman"/>
          <w:sz w:val="24"/>
          <w:szCs w:val="24"/>
        </w:rPr>
        <w:t>on with particle size</w:t>
      </w:r>
      <w:r w:rsidR="00354FB6" w:rsidRPr="00C73649">
        <w:rPr>
          <w:rFonts w:ascii="Times New Roman" w:hAnsi="Times New Roman"/>
          <w:sz w:val="24"/>
          <w:szCs w:val="24"/>
        </w:rPr>
        <w:t xml:space="preserve"> &lt;500nm. </w:t>
      </w:r>
    </w:p>
    <w:p w:rsidR="00D663FE" w:rsidRPr="00C73649" w:rsidRDefault="00D663FE" w:rsidP="00354FB6">
      <w:pPr>
        <w:spacing w:line="480" w:lineRule="auto"/>
        <w:jc w:val="both"/>
        <w:rPr>
          <w:rFonts w:ascii="Times New Roman" w:hAnsi="Times New Roman"/>
          <w:b/>
          <w:sz w:val="24"/>
          <w:szCs w:val="24"/>
        </w:rPr>
      </w:pPr>
      <w:r>
        <w:rPr>
          <w:rFonts w:ascii="Times New Roman" w:hAnsi="Times New Roman"/>
          <w:sz w:val="24"/>
          <w:szCs w:val="24"/>
        </w:rPr>
        <w:lastRenderedPageBreak/>
        <w:t xml:space="preserve">KEY WORDS: Solid SEDDS, </w:t>
      </w:r>
      <w:r w:rsidRPr="00C73649">
        <w:rPr>
          <w:rFonts w:ascii="Times New Roman" w:hAnsi="Times New Roman"/>
          <w:sz w:val="24"/>
          <w:szCs w:val="24"/>
        </w:rPr>
        <w:t>lauroyl polyoxyl glycerides</w:t>
      </w:r>
      <w:r>
        <w:rPr>
          <w:rFonts w:ascii="Times New Roman" w:hAnsi="Times New Roman"/>
          <w:sz w:val="24"/>
          <w:szCs w:val="24"/>
        </w:rPr>
        <w:t>, Acconon C-44, Gelucire 44/14, probucol, dispersion testing</w:t>
      </w:r>
    </w:p>
    <w:p w:rsidR="009D7EBD" w:rsidRDefault="009D7EBD" w:rsidP="00354FB6">
      <w:pPr>
        <w:autoSpaceDE w:val="0"/>
        <w:autoSpaceDN w:val="0"/>
        <w:adjustRightInd w:val="0"/>
        <w:spacing w:after="0" w:line="480" w:lineRule="auto"/>
        <w:jc w:val="both"/>
        <w:rPr>
          <w:rFonts w:ascii="Times New Roman" w:hAnsi="Times New Roman"/>
          <w:sz w:val="24"/>
          <w:szCs w:val="24"/>
        </w:rPr>
      </w:pPr>
    </w:p>
    <w:p w:rsidR="00354FB6" w:rsidRPr="00C73649" w:rsidRDefault="005D52CD" w:rsidP="00354FB6">
      <w:pPr>
        <w:autoSpaceDE w:val="0"/>
        <w:autoSpaceDN w:val="0"/>
        <w:adjustRightInd w:val="0"/>
        <w:spacing w:after="0" w:line="480" w:lineRule="auto"/>
        <w:jc w:val="both"/>
        <w:rPr>
          <w:rFonts w:ascii="Times New Roman" w:hAnsi="Times New Roman"/>
          <w:sz w:val="24"/>
          <w:szCs w:val="24"/>
        </w:rPr>
      </w:pPr>
      <w:r w:rsidRPr="00C73649">
        <w:rPr>
          <w:rStyle w:val="apple-style-span"/>
          <w:rFonts w:ascii="Times New Roman" w:hAnsi="Times New Roman"/>
          <w:b/>
          <w:color w:val="000000"/>
          <w:sz w:val="24"/>
          <w:szCs w:val="24"/>
          <w:shd w:val="clear" w:color="auto" w:fill="FFFFFF"/>
        </w:rPr>
        <w:t>INTRODUCTION</w:t>
      </w:r>
    </w:p>
    <w:p w:rsidR="00354FB6" w:rsidRPr="00C73649" w:rsidRDefault="0007360B" w:rsidP="00354FB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w:t>
      </w:r>
      <w:r w:rsidR="00354FB6" w:rsidRPr="00C73649">
        <w:rPr>
          <w:rFonts w:ascii="Times New Roman" w:hAnsi="Times New Roman"/>
          <w:sz w:val="24"/>
          <w:szCs w:val="24"/>
        </w:rPr>
        <w:t xml:space="preserve"> majority of new chemical entities (NCE) that emerged from the drug discovery pipeline </w:t>
      </w:r>
      <w:r>
        <w:rPr>
          <w:rFonts w:ascii="Times New Roman" w:hAnsi="Times New Roman"/>
          <w:sz w:val="24"/>
          <w:szCs w:val="24"/>
        </w:rPr>
        <w:t xml:space="preserve">during the past two decades </w:t>
      </w:r>
      <w:r w:rsidR="00354FB6" w:rsidRPr="00C73649">
        <w:rPr>
          <w:rFonts w:ascii="Times New Roman" w:hAnsi="Times New Roman"/>
          <w:sz w:val="24"/>
          <w:szCs w:val="24"/>
        </w:rPr>
        <w:t>has been extremely insoluble in aqueous media, thus limiting their dissolution rate and oral bioavailability</w:t>
      </w:r>
      <w:r w:rsidR="00354FB6">
        <w:rPr>
          <w:rFonts w:ascii="Times New Roman" w:hAnsi="Times New Roman"/>
          <w:sz w:val="24"/>
          <w:szCs w:val="24"/>
        </w:rPr>
        <w:t xml:space="preserve"> (1, 2)</w:t>
      </w:r>
      <w:r w:rsidR="00354FB6" w:rsidRPr="00C73649">
        <w:rPr>
          <w:rFonts w:ascii="Times New Roman" w:hAnsi="Times New Roman"/>
          <w:sz w:val="24"/>
          <w:szCs w:val="24"/>
        </w:rPr>
        <w:t>.  F</w:t>
      </w:r>
      <w:r w:rsidR="00413251">
        <w:rPr>
          <w:rFonts w:ascii="Times New Roman" w:hAnsi="Times New Roman"/>
          <w:sz w:val="24"/>
          <w:szCs w:val="24"/>
        </w:rPr>
        <w:t>or this reason, there has been</w:t>
      </w:r>
      <w:r w:rsidR="00354FB6" w:rsidRPr="00C73649">
        <w:rPr>
          <w:rFonts w:ascii="Times New Roman" w:hAnsi="Times New Roman"/>
          <w:sz w:val="24"/>
          <w:szCs w:val="24"/>
        </w:rPr>
        <w:t xml:space="preserve"> great interest in the development of lipid-based drug delivery systems to enhan</w:t>
      </w:r>
      <w:r w:rsidR="00413251">
        <w:rPr>
          <w:rFonts w:ascii="Times New Roman" w:hAnsi="Times New Roman"/>
          <w:sz w:val="24"/>
          <w:szCs w:val="24"/>
        </w:rPr>
        <w:t>ce oral absorption</w:t>
      </w:r>
      <w:r w:rsidR="00354FB6" w:rsidRPr="00C73649">
        <w:rPr>
          <w:rFonts w:ascii="Times New Roman" w:hAnsi="Times New Roman"/>
          <w:sz w:val="24"/>
          <w:szCs w:val="24"/>
        </w:rPr>
        <w:t xml:space="preserve"> where a water-insoluble </w:t>
      </w:r>
      <w:r w:rsidR="00413251">
        <w:rPr>
          <w:rFonts w:ascii="Times New Roman" w:hAnsi="Times New Roman"/>
          <w:sz w:val="24"/>
          <w:szCs w:val="24"/>
        </w:rPr>
        <w:t>drug</w:t>
      </w:r>
      <w:r w:rsidR="00354FB6" w:rsidRPr="00C73649">
        <w:rPr>
          <w:rFonts w:ascii="Times New Roman" w:hAnsi="Times New Roman"/>
          <w:sz w:val="24"/>
          <w:szCs w:val="24"/>
        </w:rPr>
        <w:t xml:space="preserve"> is solubilized in a mixture of lipid, surfactant and optionally cosurfactant</w:t>
      </w:r>
      <w:r w:rsidR="00354FB6">
        <w:rPr>
          <w:rFonts w:ascii="Times New Roman" w:hAnsi="Times New Roman"/>
          <w:sz w:val="24"/>
          <w:szCs w:val="24"/>
        </w:rPr>
        <w:t xml:space="preserve"> (3-10). </w:t>
      </w:r>
      <w:r w:rsidRPr="00B60098">
        <w:rPr>
          <w:rFonts w:ascii="Times New Roman" w:hAnsi="Times New Roman"/>
          <w:sz w:val="24"/>
          <w:szCs w:val="24"/>
        </w:rPr>
        <w:t>Lipid-based formulations are especially suitable for optimizing oral delivery of drugs that are highly lipophilic (8).</w:t>
      </w:r>
      <w:r>
        <w:rPr>
          <w:rFonts w:ascii="Times New Roman" w:hAnsi="Times New Roman"/>
          <w:sz w:val="24"/>
          <w:szCs w:val="24"/>
        </w:rPr>
        <w:t xml:space="preserve"> </w:t>
      </w:r>
      <w:r w:rsidR="00354FB6" w:rsidRPr="00C73649">
        <w:rPr>
          <w:rFonts w:ascii="Times New Roman" w:hAnsi="Times New Roman"/>
          <w:sz w:val="24"/>
          <w:szCs w:val="24"/>
        </w:rPr>
        <w:t xml:space="preserve">Depending on whether such solubilized formulations form emulsions or microemulsions in contact with gastrointestinal fluids </w:t>
      </w:r>
      <w:r w:rsidR="00413251">
        <w:rPr>
          <w:rFonts w:ascii="Times New Roman" w:hAnsi="Times New Roman"/>
          <w:sz w:val="24"/>
          <w:szCs w:val="24"/>
        </w:rPr>
        <w:t>after oral ingestion</w:t>
      </w:r>
      <w:r w:rsidR="00354FB6" w:rsidRPr="00C73649">
        <w:rPr>
          <w:rFonts w:ascii="Times New Roman" w:hAnsi="Times New Roman"/>
          <w:sz w:val="24"/>
          <w:szCs w:val="24"/>
        </w:rPr>
        <w:t>, they are referred to as self-emulsifying drug delivery system (SEDDS) or self-microemulsifying drug delivery systems (SMEDDS)</w:t>
      </w:r>
      <w:r w:rsidR="00354FB6">
        <w:rPr>
          <w:rFonts w:ascii="Times New Roman" w:hAnsi="Times New Roman"/>
          <w:sz w:val="24"/>
          <w:szCs w:val="24"/>
        </w:rPr>
        <w:t xml:space="preserve"> (11, 12)</w:t>
      </w:r>
      <w:r w:rsidR="00354FB6" w:rsidRPr="00C73649">
        <w:rPr>
          <w:rFonts w:ascii="Times New Roman" w:hAnsi="Times New Roman"/>
          <w:sz w:val="24"/>
          <w:szCs w:val="24"/>
        </w:rPr>
        <w:t>. Despite a very large number of NCE that are potential candidates for oral absorption and bioavailability enhancement by</w:t>
      </w:r>
      <w:r w:rsidR="00413251">
        <w:rPr>
          <w:rFonts w:ascii="Times New Roman" w:hAnsi="Times New Roman"/>
          <w:sz w:val="24"/>
          <w:szCs w:val="24"/>
        </w:rPr>
        <w:t xml:space="preserve"> lipid-based drug delivery, the </w:t>
      </w:r>
      <w:r w:rsidR="00354FB6" w:rsidRPr="00C73649">
        <w:rPr>
          <w:rFonts w:ascii="Times New Roman" w:hAnsi="Times New Roman"/>
          <w:sz w:val="24"/>
          <w:szCs w:val="24"/>
        </w:rPr>
        <w:t xml:space="preserve">commercial application </w:t>
      </w:r>
      <w:r w:rsidR="00413251">
        <w:rPr>
          <w:rFonts w:ascii="Times New Roman" w:hAnsi="Times New Roman"/>
          <w:sz w:val="24"/>
          <w:szCs w:val="24"/>
        </w:rPr>
        <w:t xml:space="preserve">of the system </w:t>
      </w:r>
      <w:r w:rsidR="00354FB6" w:rsidRPr="00C73649">
        <w:rPr>
          <w:rFonts w:ascii="Times New Roman" w:hAnsi="Times New Roman"/>
          <w:sz w:val="24"/>
          <w:szCs w:val="24"/>
        </w:rPr>
        <w:t>has been limited</w:t>
      </w:r>
      <w:r w:rsidR="00354FB6">
        <w:rPr>
          <w:rFonts w:ascii="Times New Roman" w:hAnsi="Times New Roman"/>
          <w:sz w:val="24"/>
          <w:szCs w:val="24"/>
        </w:rPr>
        <w:t xml:space="preserve"> (13, 14)</w:t>
      </w:r>
      <w:r w:rsidR="00354FB6" w:rsidRPr="00C73649">
        <w:rPr>
          <w:rFonts w:ascii="Times New Roman" w:hAnsi="Times New Roman"/>
          <w:sz w:val="24"/>
          <w:szCs w:val="24"/>
        </w:rPr>
        <w:t>. Mullertz</w:t>
      </w:r>
      <w:r w:rsidR="00354FB6">
        <w:rPr>
          <w:rFonts w:ascii="Times New Roman" w:hAnsi="Times New Roman"/>
          <w:sz w:val="24"/>
          <w:szCs w:val="24"/>
        </w:rPr>
        <w:t xml:space="preserve"> (15)</w:t>
      </w:r>
      <w:r w:rsidR="00354FB6" w:rsidRPr="00C73649">
        <w:rPr>
          <w:rFonts w:ascii="Times New Roman" w:hAnsi="Times New Roman"/>
          <w:sz w:val="24"/>
          <w:szCs w:val="24"/>
        </w:rPr>
        <w:t xml:space="preserve"> repor</w:t>
      </w:r>
      <w:r w:rsidR="00413251">
        <w:rPr>
          <w:rFonts w:ascii="Times New Roman" w:hAnsi="Times New Roman"/>
          <w:sz w:val="24"/>
          <w:szCs w:val="24"/>
        </w:rPr>
        <w:t>ted that as of 2010</w:t>
      </w:r>
      <w:r w:rsidR="00354FB6" w:rsidRPr="00C73649">
        <w:rPr>
          <w:rFonts w:ascii="Times New Roman" w:hAnsi="Times New Roman"/>
          <w:sz w:val="24"/>
          <w:szCs w:val="24"/>
        </w:rPr>
        <w:t xml:space="preserve"> there were only five marketed drugs (ciprofloxacin, cyclosporine A, lopinavir, ritonavir and tipranavir) for which the technology has been successfully applied for dissolution and bioavailability enhancement.</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 xml:space="preserve">One of the two major issues that limit greater application of lipid-based </w:t>
      </w:r>
      <w:r w:rsidR="00413251">
        <w:rPr>
          <w:rFonts w:ascii="Times New Roman" w:hAnsi="Times New Roman"/>
          <w:sz w:val="24"/>
          <w:szCs w:val="24"/>
        </w:rPr>
        <w:t xml:space="preserve">delivery </w:t>
      </w:r>
      <w:r w:rsidRPr="00C73649">
        <w:rPr>
          <w:rFonts w:ascii="Times New Roman" w:hAnsi="Times New Roman"/>
          <w:sz w:val="24"/>
          <w:szCs w:val="24"/>
        </w:rPr>
        <w:t xml:space="preserve">systems in the development of drug products is the inadequate solubility of some of the NCEs in suitable lipids or lipid-surfactant mixtures. Since the drug is usually dissolved in liquid lipids or lipid-surfactant </w:t>
      </w:r>
      <w:r w:rsidRPr="00C73649">
        <w:rPr>
          <w:rFonts w:ascii="Times New Roman" w:hAnsi="Times New Roman"/>
          <w:sz w:val="24"/>
          <w:szCs w:val="24"/>
        </w:rPr>
        <w:lastRenderedPageBreak/>
        <w:t xml:space="preserve">mixtures, the other major issue is that the drug products are also liquids that require packaging in bottles or encapsulation in soft gelatin capsules. However, the solid dosage form is the most preferred formulation approach for oral administration of drugs as over 80% of marketed drug products in the US are either tablet or hard gelatin capsule. In addition, when the availability of drug substance is limited and the timeline is short at the early stage of drug product development, many formulators do not consider soft gelatin encapsulation as a preferred dosage form development approach as it often requires outsourcing of the manufacturing process to contract laboratories. One focus of </w:t>
      </w:r>
      <w:r w:rsidR="00413251">
        <w:rPr>
          <w:rFonts w:ascii="Times New Roman" w:hAnsi="Times New Roman"/>
          <w:sz w:val="24"/>
          <w:szCs w:val="24"/>
        </w:rPr>
        <w:t xml:space="preserve">the </w:t>
      </w:r>
      <w:r w:rsidRPr="00C73649">
        <w:rPr>
          <w:rFonts w:ascii="Times New Roman" w:hAnsi="Times New Roman"/>
          <w:sz w:val="24"/>
          <w:szCs w:val="24"/>
        </w:rPr>
        <w:t xml:space="preserve">recent research efforts in our laboratory has been the development of lipid-based formulations in solid or semisolid forms that may be </w:t>
      </w:r>
      <w:r w:rsidRPr="00B60098">
        <w:rPr>
          <w:rFonts w:ascii="Times New Roman" w:hAnsi="Times New Roman"/>
          <w:sz w:val="24"/>
          <w:szCs w:val="24"/>
        </w:rPr>
        <w:t>filled in hard gelatin</w:t>
      </w:r>
      <w:r w:rsidRPr="00C73649">
        <w:rPr>
          <w:rFonts w:ascii="Times New Roman" w:hAnsi="Times New Roman"/>
          <w:sz w:val="24"/>
          <w:szCs w:val="24"/>
        </w:rPr>
        <w:t xml:space="preserve"> capsules, thus obviating the need for liquid formulations.</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There are various reports in the literature on the development of solid and semisolid dosage forms of lipids or lipid-like materials</w:t>
      </w:r>
      <w:r>
        <w:rPr>
          <w:rFonts w:ascii="Times New Roman" w:hAnsi="Times New Roman"/>
          <w:sz w:val="24"/>
          <w:szCs w:val="24"/>
        </w:rPr>
        <w:t xml:space="preserve"> (16, 17)</w:t>
      </w:r>
      <w:r w:rsidRPr="00C73649">
        <w:rPr>
          <w:rFonts w:ascii="Times New Roman" w:hAnsi="Times New Roman"/>
          <w:sz w:val="24"/>
          <w:szCs w:val="24"/>
        </w:rPr>
        <w:t xml:space="preserve">. In general, such formulations utilized solid or semisolid amphiphilic lipids </w:t>
      </w:r>
      <w:r w:rsidR="00DF5615">
        <w:rPr>
          <w:rFonts w:ascii="Times New Roman" w:hAnsi="Times New Roman"/>
          <w:sz w:val="24"/>
          <w:szCs w:val="24"/>
        </w:rPr>
        <w:t>like l</w:t>
      </w:r>
      <w:r>
        <w:rPr>
          <w:rFonts w:ascii="Times New Roman" w:hAnsi="Times New Roman"/>
          <w:sz w:val="24"/>
          <w:szCs w:val="24"/>
        </w:rPr>
        <w:t>auroyl</w:t>
      </w:r>
      <w:r w:rsidR="00DF5615">
        <w:rPr>
          <w:rFonts w:ascii="Times New Roman" w:hAnsi="Times New Roman"/>
          <w:sz w:val="24"/>
          <w:szCs w:val="24"/>
        </w:rPr>
        <w:t xml:space="preserve"> </w:t>
      </w:r>
      <w:r>
        <w:rPr>
          <w:rFonts w:ascii="Times New Roman" w:hAnsi="Times New Roman"/>
          <w:sz w:val="24"/>
          <w:szCs w:val="24"/>
        </w:rPr>
        <w:t>polyoxyl</w:t>
      </w:r>
      <w:r w:rsidR="00DF5615">
        <w:rPr>
          <w:rFonts w:ascii="Times New Roman" w:hAnsi="Times New Roman"/>
          <w:sz w:val="24"/>
          <w:szCs w:val="24"/>
        </w:rPr>
        <w:t xml:space="preserve"> </w:t>
      </w:r>
      <w:r>
        <w:rPr>
          <w:rFonts w:ascii="Times New Roman" w:hAnsi="Times New Roman"/>
          <w:sz w:val="24"/>
          <w:szCs w:val="24"/>
        </w:rPr>
        <w:t>glycerides (Ge</w:t>
      </w:r>
      <w:r w:rsidRPr="00C73649">
        <w:rPr>
          <w:rFonts w:ascii="Times New Roman" w:hAnsi="Times New Roman"/>
          <w:sz w:val="24"/>
          <w:szCs w:val="24"/>
        </w:rPr>
        <w:t>lucire® 44/14)</w:t>
      </w:r>
      <w:r>
        <w:rPr>
          <w:rFonts w:ascii="Times New Roman" w:hAnsi="Times New Roman"/>
          <w:sz w:val="24"/>
          <w:szCs w:val="24"/>
        </w:rPr>
        <w:t xml:space="preserve"> (18, 19)</w:t>
      </w:r>
      <w:r w:rsidRPr="00C73649">
        <w:rPr>
          <w:rFonts w:ascii="Times New Roman" w:hAnsi="Times New Roman"/>
          <w:sz w:val="24"/>
          <w:szCs w:val="24"/>
        </w:rPr>
        <w:t xml:space="preserve">  and d-α-tocopheryl polyethylene glycol 1000 succinate (TPGS)</w:t>
      </w:r>
      <w:r>
        <w:rPr>
          <w:rFonts w:ascii="Times New Roman" w:hAnsi="Times New Roman"/>
          <w:sz w:val="24"/>
          <w:szCs w:val="24"/>
        </w:rPr>
        <w:t xml:space="preserve"> (5, 20)</w:t>
      </w:r>
      <w:r w:rsidR="007118CD">
        <w:rPr>
          <w:rFonts w:ascii="Times New Roman" w:hAnsi="Times New Roman"/>
          <w:sz w:val="24"/>
          <w:szCs w:val="24"/>
        </w:rPr>
        <w:t xml:space="preserve"> as vehicles for drugs. T</w:t>
      </w:r>
      <w:r w:rsidRPr="00C73649">
        <w:rPr>
          <w:rFonts w:ascii="Times New Roman" w:hAnsi="Times New Roman"/>
          <w:sz w:val="24"/>
          <w:szCs w:val="24"/>
        </w:rPr>
        <w:t xml:space="preserve">he drugs were </w:t>
      </w:r>
      <w:r w:rsidR="007118CD">
        <w:rPr>
          <w:rFonts w:ascii="Times New Roman" w:hAnsi="Times New Roman"/>
          <w:sz w:val="24"/>
          <w:szCs w:val="24"/>
        </w:rPr>
        <w:t xml:space="preserve">first </w:t>
      </w:r>
      <w:r w:rsidRPr="00C73649">
        <w:rPr>
          <w:rFonts w:ascii="Times New Roman" w:hAnsi="Times New Roman"/>
          <w:sz w:val="24"/>
          <w:szCs w:val="24"/>
        </w:rPr>
        <w:t>dissolved in molten vehicles at an elevated temperature</w:t>
      </w:r>
      <w:r w:rsidR="007118CD">
        <w:rPr>
          <w:rFonts w:ascii="Times New Roman" w:hAnsi="Times New Roman"/>
          <w:sz w:val="24"/>
          <w:szCs w:val="24"/>
        </w:rPr>
        <w:t xml:space="preserve"> and</w:t>
      </w:r>
      <w:r w:rsidR="0007360B">
        <w:rPr>
          <w:rFonts w:ascii="Times New Roman" w:hAnsi="Times New Roman"/>
          <w:sz w:val="24"/>
          <w:szCs w:val="24"/>
        </w:rPr>
        <w:t xml:space="preserve"> the hot solutions are </w:t>
      </w:r>
      <w:r w:rsidR="0007360B" w:rsidRPr="00B60098">
        <w:rPr>
          <w:rFonts w:ascii="Times New Roman" w:hAnsi="Times New Roman"/>
          <w:sz w:val="24"/>
          <w:szCs w:val="24"/>
        </w:rPr>
        <w:t>filled into hard gela</w:t>
      </w:r>
      <w:r w:rsidR="007118CD" w:rsidRPr="00B60098">
        <w:rPr>
          <w:rFonts w:ascii="Times New Roman" w:hAnsi="Times New Roman"/>
          <w:sz w:val="24"/>
          <w:szCs w:val="24"/>
        </w:rPr>
        <w:t>tin capsules</w:t>
      </w:r>
      <w:r w:rsidR="007118CD">
        <w:rPr>
          <w:rFonts w:ascii="Times New Roman" w:hAnsi="Times New Roman"/>
          <w:sz w:val="24"/>
          <w:szCs w:val="24"/>
        </w:rPr>
        <w:t>, which then</w:t>
      </w:r>
      <w:r w:rsidRPr="00C73649">
        <w:rPr>
          <w:rFonts w:ascii="Times New Roman" w:hAnsi="Times New Roman"/>
          <w:sz w:val="24"/>
          <w:szCs w:val="24"/>
        </w:rPr>
        <w:t xml:space="preserve"> solidified once cooled to room temperature. However, since the vehicles crystallized out when they solidified at room temperature, there was the potential </w:t>
      </w:r>
      <w:r w:rsidR="00C65D94">
        <w:rPr>
          <w:rFonts w:ascii="Times New Roman" w:hAnsi="Times New Roman"/>
          <w:sz w:val="24"/>
          <w:szCs w:val="24"/>
        </w:rPr>
        <w:t xml:space="preserve">that </w:t>
      </w:r>
      <w:r w:rsidRPr="00C73649">
        <w:rPr>
          <w:rFonts w:ascii="Times New Roman" w:hAnsi="Times New Roman"/>
          <w:sz w:val="24"/>
          <w:szCs w:val="24"/>
        </w:rPr>
        <w:t>the drugs could phase separate from solutions in amorphous or crystalline forms</w:t>
      </w:r>
      <w:r>
        <w:rPr>
          <w:rFonts w:ascii="Times New Roman" w:hAnsi="Times New Roman"/>
          <w:sz w:val="24"/>
          <w:szCs w:val="24"/>
        </w:rPr>
        <w:t xml:space="preserve"> (21)</w:t>
      </w:r>
      <w:r w:rsidRPr="00C73649">
        <w:rPr>
          <w:rFonts w:ascii="Times New Roman" w:hAnsi="Times New Roman"/>
          <w:sz w:val="24"/>
          <w:szCs w:val="24"/>
        </w:rPr>
        <w:t>. Therefore, such formulations were solid dispersions of amorphous (or crystalline) drugs rather than solutions of drugs in lipids</w:t>
      </w:r>
      <w:r>
        <w:rPr>
          <w:rFonts w:ascii="Times New Roman" w:hAnsi="Times New Roman"/>
          <w:sz w:val="24"/>
          <w:szCs w:val="24"/>
        </w:rPr>
        <w:t xml:space="preserve"> (16, 22)</w:t>
      </w:r>
      <w:r w:rsidRPr="00C73649">
        <w:rPr>
          <w:rFonts w:ascii="Times New Roman" w:hAnsi="Times New Roman"/>
          <w:sz w:val="24"/>
          <w:szCs w:val="24"/>
        </w:rPr>
        <w:t xml:space="preserve">. </w:t>
      </w:r>
      <w:r>
        <w:rPr>
          <w:rFonts w:ascii="Times New Roman" w:hAnsi="Times New Roman"/>
          <w:sz w:val="24"/>
          <w:szCs w:val="24"/>
        </w:rPr>
        <w:t xml:space="preserve"> </w:t>
      </w:r>
      <w:r w:rsidRPr="00C73649">
        <w:rPr>
          <w:rFonts w:ascii="Times New Roman" w:hAnsi="Times New Roman"/>
          <w:sz w:val="24"/>
          <w:szCs w:val="24"/>
        </w:rPr>
        <w:t xml:space="preserve">Even when the drug initially remained amorphous in solid dispersions, there was the potential that the drug could crystallize out during </w:t>
      </w:r>
      <w:r w:rsidRPr="00C73649">
        <w:rPr>
          <w:rFonts w:ascii="Times New Roman" w:hAnsi="Times New Roman"/>
          <w:sz w:val="24"/>
          <w:szCs w:val="24"/>
        </w:rPr>
        <w:lastRenderedPageBreak/>
        <w:t>shelf-life</w:t>
      </w:r>
      <w:r>
        <w:rPr>
          <w:rFonts w:ascii="Times New Roman" w:hAnsi="Times New Roman"/>
          <w:sz w:val="24"/>
          <w:szCs w:val="24"/>
        </w:rPr>
        <w:t xml:space="preserve"> (21)</w:t>
      </w:r>
      <w:r w:rsidRPr="00C73649">
        <w:rPr>
          <w:rFonts w:ascii="Times New Roman" w:hAnsi="Times New Roman"/>
          <w:sz w:val="24"/>
          <w:szCs w:val="24"/>
        </w:rPr>
        <w:t>. All of these could defeat the purpose of developing a lipid-based formulation, where it is expected that the drug would remain in solution in the dosage form.</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color w:val="000000"/>
          <w:sz w:val="24"/>
          <w:szCs w:val="24"/>
        </w:rPr>
      </w:pPr>
      <w:r w:rsidRPr="00C73649">
        <w:rPr>
          <w:rFonts w:ascii="Times New Roman" w:hAnsi="Times New Roman"/>
          <w:sz w:val="24"/>
          <w:szCs w:val="24"/>
        </w:rPr>
        <w:t>In 2009, Serajuddin and his colleagues</w:t>
      </w:r>
      <w:r>
        <w:rPr>
          <w:rFonts w:ascii="Times New Roman" w:hAnsi="Times New Roman"/>
          <w:sz w:val="24"/>
          <w:szCs w:val="24"/>
        </w:rPr>
        <w:t xml:space="preserve"> (23) </w:t>
      </w:r>
      <w:r w:rsidRPr="00C73649">
        <w:rPr>
          <w:rFonts w:ascii="Times New Roman" w:hAnsi="Times New Roman"/>
          <w:sz w:val="24"/>
          <w:szCs w:val="24"/>
        </w:rPr>
        <w:t>reported a novel approach of preparing solid lipid-based formulations where solutions of drug in liquid lipid-surfactant mixtures were converted into solid form</w:t>
      </w:r>
      <w:r w:rsidR="00C65D94">
        <w:rPr>
          <w:rFonts w:ascii="Times New Roman" w:hAnsi="Times New Roman"/>
          <w:sz w:val="24"/>
          <w:szCs w:val="24"/>
        </w:rPr>
        <w:t>s</w:t>
      </w:r>
      <w:r w:rsidRPr="00C73649">
        <w:rPr>
          <w:rFonts w:ascii="Times New Roman" w:hAnsi="Times New Roman"/>
          <w:sz w:val="24"/>
          <w:szCs w:val="24"/>
        </w:rPr>
        <w:t xml:space="preserve"> by incorporating them in a solid polyethylene glycol (PEG) matrix. For this purpose, the formulations containing drug, lipid, surfactant and PEG 3350 (m.p. 55–60</w:t>
      </w:r>
      <w:r w:rsidRPr="00C73649">
        <w:rPr>
          <w:rFonts w:ascii="Times New Roman"/>
          <w:sz w:val="24"/>
          <w:szCs w:val="24"/>
        </w:rPr>
        <w:t>⁰</w:t>
      </w:r>
      <w:r w:rsidRPr="00C73649">
        <w:rPr>
          <w:rFonts w:ascii="Times New Roman" w:hAnsi="Times New Roman"/>
          <w:sz w:val="24"/>
          <w:szCs w:val="24"/>
        </w:rPr>
        <w:t>C) were heated to ~70</w:t>
      </w:r>
      <w:r w:rsidRPr="00C73649">
        <w:rPr>
          <w:rFonts w:ascii="Times New Roman"/>
          <w:sz w:val="24"/>
          <w:szCs w:val="24"/>
        </w:rPr>
        <w:t>⁰</w:t>
      </w:r>
      <w:r w:rsidRPr="00C73649">
        <w:rPr>
          <w:rFonts w:ascii="Times New Roman" w:hAnsi="Times New Roman"/>
          <w:sz w:val="24"/>
          <w:szCs w:val="24"/>
        </w:rPr>
        <w:t xml:space="preserve">C, and the hot mixtures were </w:t>
      </w:r>
      <w:r w:rsidRPr="00B60098">
        <w:rPr>
          <w:rFonts w:ascii="Times New Roman" w:hAnsi="Times New Roman"/>
          <w:sz w:val="24"/>
          <w:szCs w:val="24"/>
        </w:rPr>
        <w:t>filled into hard gelatin capsules</w:t>
      </w:r>
      <w:r w:rsidRPr="00C73649">
        <w:rPr>
          <w:rFonts w:ascii="Times New Roman" w:hAnsi="Times New Roman"/>
          <w:sz w:val="24"/>
          <w:szCs w:val="24"/>
        </w:rPr>
        <w:t>. Upon cooling to room temperature, the formulation solidified, where the crystalline PEG 3350 formed the solid structure and the liquid lipid-surfactant mixture containing the dissolved drug dispersed in between PEG 3350 crystals as a separate phase. More recently, Shah and Serajuddin</w:t>
      </w:r>
      <w:r>
        <w:rPr>
          <w:rFonts w:ascii="Times New Roman" w:hAnsi="Times New Roman"/>
          <w:sz w:val="24"/>
          <w:szCs w:val="24"/>
        </w:rPr>
        <w:t xml:space="preserve"> (24)</w:t>
      </w:r>
      <w:r w:rsidRPr="00C73649">
        <w:rPr>
          <w:rFonts w:ascii="Times New Roman" w:hAnsi="Times New Roman"/>
          <w:sz w:val="24"/>
          <w:szCs w:val="24"/>
        </w:rPr>
        <w:t xml:space="preserve"> developed another solid lipid-based formulation where poloxamer 188 was used as the solidifying agent in place of PEG 3350. Another added advantage of the formulation was that poloxamer 188 also served as the emulsifying agent for lipids used.  It was, however, observed in both of these studies that only the monoglycerides of medium chain fatty acids were amenable to solidification by PEG 3350 or poloxamer 188; the formulations could contain as much as 70-80% w/w liquid content. No such solidification of PEG 3350 and poloxamer 188 observed when di- or tri-glycerides of medium chain fatty acids were used.</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2409B4" w:rsidRPr="002409B4" w:rsidRDefault="00354FB6" w:rsidP="009B174C">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 xml:space="preserve">Since triglycerides of fatty acids, especially those of medium chain acids, are commonly used in lipid-based formulations, further studies have been conducted in our laboratory to identify solidifying agents for formulations containing triglycerides. Preliminary studies indicated that lauroyl polyoxyl glyceride could serve as a suitable solidifying agent for triglyceride </w:t>
      </w:r>
      <w:r w:rsidRPr="00C73649">
        <w:rPr>
          <w:rFonts w:ascii="Times New Roman" w:hAnsi="Times New Roman"/>
          <w:sz w:val="24"/>
          <w:szCs w:val="24"/>
        </w:rPr>
        <w:lastRenderedPageBreak/>
        <w:t>formulations. The present report describes preparation and physicochemical characterization of solid lipid-based formulations using lauroyl polyoxyl glycerides</w:t>
      </w:r>
      <w:r w:rsidR="007118CD">
        <w:rPr>
          <w:rFonts w:ascii="Times New Roman" w:hAnsi="Times New Roman"/>
          <w:sz w:val="24"/>
          <w:szCs w:val="24"/>
        </w:rPr>
        <w:t xml:space="preserve"> as the carrier </w:t>
      </w:r>
      <w:r w:rsidR="007118CD" w:rsidRPr="00B60098">
        <w:rPr>
          <w:rFonts w:ascii="Times New Roman" w:hAnsi="Times New Roman"/>
          <w:sz w:val="24"/>
          <w:szCs w:val="24"/>
        </w:rPr>
        <w:t>that may be delivered as solid dosage forms using hard gelatin capsules</w:t>
      </w:r>
      <w:r w:rsidRPr="00C73649">
        <w:rPr>
          <w:rFonts w:ascii="Times New Roman" w:hAnsi="Times New Roman"/>
          <w:sz w:val="24"/>
          <w:szCs w:val="24"/>
        </w:rPr>
        <w:t xml:space="preserve">. </w:t>
      </w:r>
      <w:r w:rsidR="007118CD">
        <w:rPr>
          <w:rFonts w:ascii="Times New Roman" w:hAnsi="Times New Roman"/>
          <w:sz w:val="24"/>
          <w:szCs w:val="24"/>
        </w:rPr>
        <w:t>The solid carrier</w:t>
      </w:r>
      <w:r w:rsidRPr="00C73649">
        <w:rPr>
          <w:rFonts w:ascii="Times New Roman" w:hAnsi="Times New Roman"/>
          <w:sz w:val="24"/>
          <w:szCs w:val="24"/>
        </w:rPr>
        <w:t xml:space="preserve"> is an amphiphilic (HLB ~14) and semisolid (m.p. ~ 44</w:t>
      </w:r>
      <w:r w:rsidRPr="00C73649">
        <w:rPr>
          <w:rFonts w:ascii="Times New Roman"/>
          <w:sz w:val="24"/>
          <w:szCs w:val="24"/>
        </w:rPr>
        <w:t>⁰</w:t>
      </w:r>
      <w:r w:rsidRPr="00C73649">
        <w:rPr>
          <w:rFonts w:ascii="Times New Roman" w:hAnsi="Times New Roman"/>
          <w:sz w:val="24"/>
          <w:szCs w:val="24"/>
        </w:rPr>
        <w:t xml:space="preserve">C) excipient that is listed as </w:t>
      </w:r>
      <w:r w:rsidRPr="00C73649">
        <w:rPr>
          <w:rFonts w:ascii="Times New Roman" w:hAnsi="Times New Roman"/>
          <w:bCs/>
          <w:sz w:val="24"/>
          <w:szCs w:val="24"/>
        </w:rPr>
        <w:t xml:space="preserve">lauroyl polyoxyl-32 glycerides in the </w:t>
      </w:r>
      <w:r w:rsidRPr="002409B4">
        <w:rPr>
          <w:rFonts w:ascii="Times New Roman" w:hAnsi="Times New Roman"/>
          <w:bCs/>
          <w:sz w:val="24"/>
          <w:szCs w:val="24"/>
        </w:rPr>
        <w:t xml:space="preserve">United States Pharmacopoeia (USP-NF) and </w:t>
      </w:r>
      <w:r w:rsidRPr="002409B4">
        <w:rPr>
          <w:rFonts w:ascii="Times New Roman" w:eastAsia="Times New Roman" w:hAnsi="Times New Roman"/>
          <w:bCs/>
          <w:kern w:val="36"/>
          <w:sz w:val="24"/>
          <w:szCs w:val="24"/>
        </w:rPr>
        <w:t xml:space="preserve">lauroyl macrogol-32 glycerides in the European Pharmacopoeia (EP). Since the excipient is obtained semi-synthetically from natural sources and contains multiple components, there could be variation in its properties depending on its sources. For this reason, materials obtained from two manufactures </w:t>
      </w:r>
      <w:r w:rsidRPr="002409B4">
        <w:rPr>
          <w:rFonts w:ascii="Times New Roman" w:hAnsi="Times New Roman"/>
          <w:sz w:val="24"/>
          <w:szCs w:val="24"/>
        </w:rPr>
        <w:t xml:space="preserve">(Acconon C-44 </w:t>
      </w:r>
      <w:r w:rsidRPr="002409B4">
        <w:rPr>
          <w:rFonts w:ascii="Times New Roman" w:hAnsi="Times New Roman"/>
          <w:sz w:val="24"/>
          <w:szCs w:val="24"/>
          <w:vertAlign w:val="superscript"/>
        </w:rPr>
        <w:t>®</w:t>
      </w:r>
      <w:r w:rsidRPr="002409B4">
        <w:rPr>
          <w:rFonts w:ascii="Times New Roman" w:hAnsi="Times New Roman"/>
          <w:sz w:val="24"/>
          <w:szCs w:val="24"/>
        </w:rPr>
        <w:t>, ABITEC; Gelucire 44/14</w:t>
      </w:r>
      <w:r w:rsidRPr="002409B4">
        <w:rPr>
          <w:rFonts w:ascii="Times New Roman" w:hAnsi="Times New Roman"/>
          <w:sz w:val="24"/>
          <w:szCs w:val="24"/>
          <w:vertAlign w:val="superscript"/>
        </w:rPr>
        <w:t>®</w:t>
      </w:r>
      <w:r w:rsidRPr="002409B4">
        <w:rPr>
          <w:rFonts w:ascii="Times New Roman" w:hAnsi="Times New Roman"/>
          <w:sz w:val="24"/>
          <w:szCs w:val="24"/>
        </w:rPr>
        <w:t xml:space="preserve">, Gattefosse) were used to determine whether there is any impact of the source on its performance as the solidifying agent for triglycerides. </w:t>
      </w:r>
      <w:r w:rsidR="002409B4" w:rsidRPr="00B60098">
        <w:rPr>
          <w:rFonts w:ascii="Times New Roman" w:eastAsiaTheme="minorHAnsi" w:hAnsi="Times New Roman"/>
          <w:sz w:val="24"/>
          <w:szCs w:val="24"/>
        </w:rPr>
        <w:t>Probucol</w:t>
      </w:r>
      <w:r w:rsidR="009B174C" w:rsidRPr="00B60098">
        <w:rPr>
          <w:rFonts w:ascii="Times New Roman" w:eastAsiaTheme="minorHAnsi" w:hAnsi="Times New Roman"/>
          <w:sz w:val="24"/>
          <w:szCs w:val="24"/>
        </w:rPr>
        <w:t>,</w:t>
      </w:r>
      <w:r w:rsidR="002409B4" w:rsidRPr="00B60098">
        <w:rPr>
          <w:rFonts w:ascii="Times New Roman" w:eastAsiaTheme="minorHAnsi" w:hAnsi="Times New Roman"/>
          <w:sz w:val="24"/>
          <w:szCs w:val="24"/>
        </w:rPr>
        <w:t xml:space="preserve"> which </w:t>
      </w:r>
      <w:r w:rsidR="00B60098" w:rsidRPr="00B60098">
        <w:rPr>
          <w:rFonts w:ascii="Times New Roman" w:eastAsiaTheme="minorHAnsi" w:hAnsi="Times New Roman"/>
          <w:sz w:val="24"/>
          <w:szCs w:val="24"/>
        </w:rPr>
        <w:t>is a neutral molecule with an aqueous solubility</w:t>
      </w:r>
      <w:r w:rsidR="009B174C" w:rsidRPr="00B60098">
        <w:rPr>
          <w:rFonts w:ascii="Times New Roman" w:eastAsiaTheme="minorHAnsi" w:hAnsi="Times New Roman"/>
          <w:sz w:val="24"/>
          <w:szCs w:val="24"/>
        </w:rPr>
        <w:t xml:space="preserve"> of 0.002-0.005 μg/ml and a</w:t>
      </w:r>
      <w:r w:rsidR="00B60098" w:rsidRPr="00B60098">
        <w:rPr>
          <w:rFonts w:ascii="Times New Roman" w:eastAsiaTheme="minorHAnsi" w:hAnsi="Times New Roman"/>
          <w:sz w:val="24"/>
          <w:szCs w:val="24"/>
        </w:rPr>
        <w:t>n octanol-water</w:t>
      </w:r>
      <w:r w:rsidR="009B174C" w:rsidRPr="00B60098">
        <w:rPr>
          <w:rFonts w:ascii="Times New Roman" w:eastAsiaTheme="minorHAnsi" w:hAnsi="Times New Roman"/>
          <w:sz w:val="24"/>
          <w:szCs w:val="24"/>
        </w:rPr>
        <w:t xml:space="preserve"> l</w:t>
      </w:r>
      <w:r w:rsidR="002409B4" w:rsidRPr="00B60098">
        <w:rPr>
          <w:rFonts w:ascii="Times New Roman" w:eastAsiaTheme="minorHAnsi" w:hAnsi="Times New Roman"/>
          <w:sz w:val="24"/>
          <w:szCs w:val="24"/>
        </w:rPr>
        <w:t>ogP value of 11</w:t>
      </w:r>
      <w:r w:rsidR="00B80683" w:rsidRPr="00B60098">
        <w:rPr>
          <w:rFonts w:ascii="Times New Roman" w:eastAsiaTheme="minorHAnsi" w:hAnsi="Times New Roman"/>
          <w:sz w:val="24"/>
          <w:szCs w:val="24"/>
        </w:rPr>
        <w:t xml:space="preserve"> (25, 26)</w:t>
      </w:r>
      <w:r w:rsidR="002409B4" w:rsidRPr="00B60098">
        <w:rPr>
          <w:rFonts w:ascii="Times New Roman" w:eastAsiaTheme="minorHAnsi" w:hAnsi="Times New Roman"/>
          <w:sz w:val="24"/>
          <w:szCs w:val="24"/>
        </w:rPr>
        <w:t xml:space="preserve">, was </w:t>
      </w:r>
      <w:r w:rsidR="009B174C" w:rsidRPr="00B60098">
        <w:rPr>
          <w:rFonts w:ascii="Times New Roman" w:eastAsiaTheme="minorHAnsi" w:hAnsi="Times New Roman"/>
          <w:sz w:val="24"/>
          <w:szCs w:val="24"/>
        </w:rPr>
        <w:t>used as a model drug to study the drug release from different solid formulations developed</w:t>
      </w:r>
      <w:r w:rsidR="002409B4" w:rsidRPr="00B60098">
        <w:rPr>
          <w:rFonts w:ascii="Times New Roman" w:eastAsiaTheme="minorHAnsi" w:hAnsi="Times New Roman"/>
          <w:sz w:val="24"/>
          <w:szCs w:val="24"/>
        </w:rPr>
        <w:t>.</w:t>
      </w:r>
    </w:p>
    <w:p w:rsidR="00354FB6" w:rsidRPr="002409B4" w:rsidRDefault="00354FB6" w:rsidP="002409B4">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b/>
          <w:sz w:val="24"/>
          <w:szCs w:val="24"/>
        </w:rPr>
        <w:t>MATERIALS AND METHOD</w:t>
      </w:r>
    </w:p>
    <w:p w:rsidR="009E3D39" w:rsidRDefault="009E3D39" w:rsidP="00354FB6">
      <w:pPr>
        <w:spacing w:line="480" w:lineRule="auto"/>
        <w:jc w:val="both"/>
        <w:rPr>
          <w:rFonts w:ascii="Times New Roman" w:hAnsi="Times New Roman"/>
          <w:b/>
          <w:sz w:val="24"/>
          <w:szCs w:val="24"/>
        </w:rPr>
      </w:pPr>
    </w:p>
    <w:p w:rsidR="00354FB6" w:rsidRPr="00C73649" w:rsidRDefault="00354FB6" w:rsidP="00354FB6">
      <w:pPr>
        <w:spacing w:line="480" w:lineRule="auto"/>
        <w:jc w:val="both"/>
        <w:rPr>
          <w:rFonts w:ascii="Times New Roman" w:hAnsi="Times New Roman"/>
          <w:b/>
          <w:sz w:val="24"/>
          <w:szCs w:val="24"/>
        </w:rPr>
      </w:pPr>
      <w:r w:rsidRPr="00C73649">
        <w:rPr>
          <w:rFonts w:ascii="Times New Roman" w:hAnsi="Times New Roman"/>
          <w:b/>
          <w:sz w:val="24"/>
          <w:szCs w:val="24"/>
        </w:rPr>
        <w:t>Materials</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Captex</w:t>
      </w:r>
      <w:r w:rsidRPr="00C73649">
        <w:rPr>
          <w:rFonts w:ascii="Times New Roman" w:hAnsi="Times New Roman"/>
          <w:sz w:val="24"/>
          <w:szCs w:val="24"/>
          <w:vertAlign w:val="superscript"/>
        </w:rPr>
        <w:t>®</w:t>
      </w:r>
      <w:r w:rsidRPr="00C73649">
        <w:rPr>
          <w:rFonts w:ascii="Times New Roman" w:hAnsi="Times New Roman"/>
          <w:sz w:val="24"/>
          <w:szCs w:val="24"/>
        </w:rPr>
        <w:t xml:space="preserve"> 355 EP/NF (caprylic/capric triglyceride), Capmul</w:t>
      </w:r>
      <w:r w:rsidRPr="00C73649">
        <w:rPr>
          <w:rFonts w:ascii="Times New Roman" w:hAnsi="Times New Roman"/>
          <w:sz w:val="24"/>
          <w:szCs w:val="24"/>
          <w:vertAlign w:val="superscript"/>
        </w:rPr>
        <w:t>®</w:t>
      </w:r>
      <w:r w:rsidRPr="00C73649">
        <w:rPr>
          <w:rFonts w:ascii="Times New Roman" w:hAnsi="Times New Roman"/>
          <w:sz w:val="24"/>
          <w:szCs w:val="24"/>
        </w:rPr>
        <w:t xml:space="preserve"> MCM NF (Glyceryl caprylate/caprate), Capmul</w:t>
      </w:r>
      <w:r w:rsidRPr="00C73649">
        <w:rPr>
          <w:rFonts w:ascii="Times New Roman" w:hAnsi="Times New Roman"/>
          <w:sz w:val="24"/>
          <w:szCs w:val="24"/>
          <w:vertAlign w:val="superscript"/>
        </w:rPr>
        <w:t>®</w:t>
      </w:r>
      <w:r w:rsidRPr="00C73649">
        <w:rPr>
          <w:rFonts w:ascii="Times New Roman" w:hAnsi="Times New Roman"/>
          <w:sz w:val="24"/>
          <w:szCs w:val="24"/>
        </w:rPr>
        <w:t xml:space="preserve"> PG-8 NF</w:t>
      </w:r>
      <w:r w:rsidR="00DF5615">
        <w:rPr>
          <w:rFonts w:ascii="Times New Roman" w:hAnsi="Times New Roman"/>
          <w:sz w:val="24"/>
          <w:szCs w:val="24"/>
        </w:rPr>
        <w:t xml:space="preserve"> </w:t>
      </w:r>
      <w:r w:rsidRPr="00C73649">
        <w:rPr>
          <w:rFonts w:ascii="Times New Roman" w:hAnsi="Times New Roman"/>
          <w:sz w:val="24"/>
          <w:szCs w:val="24"/>
        </w:rPr>
        <w:t>(</w:t>
      </w:r>
      <w:r w:rsidR="00DF5615">
        <w:rPr>
          <w:rFonts w:ascii="Times New Roman" w:hAnsi="Times New Roman"/>
          <w:sz w:val="24"/>
          <w:szCs w:val="24"/>
        </w:rPr>
        <w:t>p</w:t>
      </w:r>
      <w:r w:rsidR="00C65D94">
        <w:rPr>
          <w:rFonts w:ascii="Times New Roman" w:hAnsi="Times New Roman"/>
          <w:sz w:val="24"/>
          <w:szCs w:val="24"/>
        </w:rPr>
        <w:t>ropylene glycol monocaprylate) and</w:t>
      </w:r>
      <w:r w:rsidRPr="00C73649">
        <w:rPr>
          <w:rFonts w:ascii="Times New Roman" w:hAnsi="Times New Roman"/>
          <w:sz w:val="24"/>
          <w:szCs w:val="24"/>
        </w:rPr>
        <w:t xml:space="preserve"> Acconon</w:t>
      </w:r>
      <w:r w:rsidRPr="00C73649">
        <w:rPr>
          <w:rFonts w:ascii="Times New Roman" w:hAnsi="Times New Roman"/>
          <w:sz w:val="24"/>
          <w:szCs w:val="24"/>
          <w:vertAlign w:val="superscript"/>
        </w:rPr>
        <w:t>®</w:t>
      </w:r>
      <w:r w:rsidRPr="00C73649">
        <w:rPr>
          <w:rFonts w:ascii="Times New Roman" w:hAnsi="Times New Roman"/>
          <w:sz w:val="24"/>
          <w:szCs w:val="24"/>
        </w:rPr>
        <w:t xml:space="preserve"> C-44 (lauroyl polyoxyl-32 glycerides</w:t>
      </w:r>
      <w:r w:rsidR="00B00B45">
        <w:rPr>
          <w:rFonts w:ascii="Times New Roman" w:hAnsi="Times New Roman"/>
          <w:sz w:val="24"/>
          <w:szCs w:val="24"/>
        </w:rPr>
        <w:t>, EP/NF</w:t>
      </w:r>
      <w:r w:rsidRPr="00C73649">
        <w:rPr>
          <w:rFonts w:ascii="Times New Roman" w:hAnsi="Times New Roman"/>
          <w:sz w:val="24"/>
          <w:szCs w:val="24"/>
        </w:rPr>
        <w:t>) were supplied by ABITEC Corp., Columbus, OH, USA.</w:t>
      </w:r>
      <w:r w:rsidR="00DF5615">
        <w:rPr>
          <w:rFonts w:ascii="Times New Roman" w:hAnsi="Times New Roman"/>
          <w:sz w:val="24"/>
          <w:szCs w:val="24"/>
        </w:rPr>
        <w:t xml:space="preserve"> </w:t>
      </w:r>
      <w:r w:rsidRPr="00C73649">
        <w:rPr>
          <w:rFonts w:ascii="Times New Roman" w:hAnsi="Times New Roman"/>
          <w:sz w:val="24"/>
          <w:szCs w:val="24"/>
        </w:rPr>
        <w:t xml:space="preserve"> Gelucire</w:t>
      </w:r>
      <w:r w:rsidRPr="00C73649">
        <w:rPr>
          <w:rFonts w:ascii="Times New Roman" w:hAnsi="Times New Roman"/>
          <w:sz w:val="24"/>
          <w:szCs w:val="24"/>
          <w:vertAlign w:val="superscript"/>
        </w:rPr>
        <w:t>®</w:t>
      </w:r>
      <w:r w:rsidRPr="00C73649">
        <w:rPr>
          <w:rFonts w:ascii="Times New Roman" w:hAnsi="Times New Roman"/>
          <w:sz w:val="24"/>
          <w:szCs w:val="24"/>
        </w:rPr>
        <w:t xml:space="preserve"> 44/14 (lauroyl polyoxyl-32 glycerides</w:t>
      </w:r>
      <w:r w:rsidR="00B00B45">
        <w:rPr>
          <w:rFonts w:ascii="Times New Roman" w:hAnsi="Times New Roman"/>
          <w:sz w:val="24"/>
          <w:szCs w:val="24"/>
        </w:rPr>
        <w:t>, EP/NF</w:t>
      </w:r>
      <w:r w:rsidRPr="00C73649">
        <w:rPr>
          <w:rFonts w:ascii="Times New Roman" w:hAnsi="Times New Roman"/>
          <w:sz w:val="24"/>
          <w:szCs w:val="24"/>
        </w:rPr>
        <w:t>) was obtained from Gattefosse Corp., Paramus, NJ, USA. Cremophor</w:t>
      </w:r>
      <w:r w:rsidRPr="00C73649">
        <w:rPr>
          <w:rFonts w:ascii="Times New Roman" w:hAnsi="Times New Roman"/>
          <w:sz w:val="24"/>
          <w:szCs w:val="24"/>
          <w:vertAlign w:val="superscript"/>
        </w:rPr>
        <w:t>®</w:t>
      </w:r>
      <w:r w:rsidRPr="00C73649">
        <w:rPr>
          <w:rFonts w:ascii="Times New Roman" w:hAnsi="Times New Roman"/>
          <w:sz w:val="24"/>
          <w:szCs w:val="24"/>
        </w:rPr>
        <w:t xml:space="preserve"> EL (PEG-35 castor oil) was obtained from BASF Corp., </w:t>
      </w:r>
      <w:r w:rsidRPr="00C73649">
        <w:rPr>
          <w:rFonts w:ascii="Times New Roman" w:hAnsi="Times New Roman"/>
          <w:sz w:val="24"/>
          <w:szCs w:val="24"/>
        </w:rPr>
        <w:lastRenderedPageBreak/>
        <w:t>Tarrytown, USA. Probuc</w:t>
      </w:r>
      <w:r w:rsidR="002409B4">
        <w:rPr>
          <w:rFonts w:ascii="Times New Roman" w:hAnsi="Times New Roman"/>
          <w:sz w:val="24"/>
          <w:szCs w:val="24"/>
        </w:rPr>
        <w:t xml:space="preserve">ol </w:t>
      </w:r>
      <w:r w:rsidRPr="00C73649">
        <w:rPr>
          <w:rFonts w:ascii="Times New Roman" w:hAnsi="Times New Roman"/>
          <w:sz w:val="24"/>
          <w:szCs w:val="24"/>
        </w:rPr>
        <w:t>was purchased from Sigma Aldrich, St. Louis, MO, USA. All other chemicals and reagents used were of analytical grade or better.</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b/>
          <w:sz w:val="24"/>
          <w:szCs w:val="24"/>
        </w:rPr>
      </w:pPr>
      <w:r w:rsidRPr="00C73649">
        <w:rPr>
          <w:rFonts w:ascii="Times New Roman" w:hAnsi="Times New Roman"/>
          <w:b/>
          <w:sz w:val="24"/>
          <w:szCs w:val="24"/>
        </w:rPr>
        <w:t>Methods</w:t>
      </w:r>
    </w:p>
    <w:p w:rsidR="00354FB6" w:rsidRPr="00C73649" w:rsidRDefault="00354FB6" w:rsidP="00354FB6">
      <w:pPr>
        <w:autoSpaceDE w:val="0"/>
        <w:autoSpaceDN w:val="0"/>
        <w:adjustRightInd w:val="0"/>
        <w:spacing w:after="0" w:line="480" w:lineRule="auto"/>
        <w:jc w:val="both"/>
        <w:rPr>
          <w:rFonts w:ascii="Times New Roman" w:hAnsi="Times New Roman"/>
          <w:b/>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b/>
          <w:i/>
          <w:sz w:val="24"/>
          <w:szCs w:val="24"/>
        </w:rPr>
      </w:pPr>
      <w:r w:rsidRPr="00C73649">
        <w:rPr>
          <w:rFonts w:ascii="Times New Roman" w:hAnsi="Times New Roman"/>
          <w:b/>
          <w:i/>
          <w:sz w:val="24"/>
          <w:szCs w:val="24"/>
        </w:rPr>
        <w:t>Preparation of Formulation</w:t>
      </w:r>
    </w:p>
    <w:p w:rsidR="00354FB6" w:rsidRPr="00C73649" w:rsidRDefault="00354FB6" w:rsidP="00354FB6">
      <w:pPr>
        <w:autoSpaceDE w:val="0"/>
        <w:autoSpaceDN w:val="0"/>
        <w:adjustRightInd w:val="0"/>
        <w:spacing w:after="0" w:line="480" w:lineRule="auto"/>
        <w:jc w:val="both"/>
        <w:rPr>
          <w:rFonts w:ascii="Times New Roman" w:hAnsi="Times New Roman"/>
          <w:b/>
          <w:i/>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 xml:space="preserve">Preliminary studies were conducted to determine whether lipids and liquid surfactant </w:t>
      </w:r>
      <w:r w:rsidR="00C65D94">
        <w:rPr>
          <w:rFonts w:ascii="Times New Roman" w:hAnsi="Times New Roman"/>
          <w:sz w:val="24"/>
          <w:szCs w:val="24"/>
        </w:rPr>
        <w:t>were</w:t>
      </w:r>
      <w:r w:rsidRPr="00C73649">
        <w:rPr>
          <w:rFonts w:ascii="Times New Roman" w:hAnsi="Times New Roman"/>
          <w:sz w:val="24"/>
          <w:szCs w:val="24"/>
        </w:rPr>
        <w:t xml:space="preserve"> able to form solid system</w:t>
      </w:r>
      <w:r w:rsidR="00C65D94">
        <w:rPr>
          <w:rFonts w:ascii="Times New Roman" w:hAnsi="Times New Roman"/>
          <w:sz w:val="24"/>
          <w:szCs w:val="24"/>
        </w:rPr>
        <w:t>s</w:t>
      </w:r>
      <w:r w:rsidRPr="00C73649">
        <w:rPr>
          <w:rFonts w:ascii="Times New Roman" w:hAnsi="Times New Roman"/>
          <w:sz w:val="24"/>
          <w:szCs w:val="24"/>
        </w:rPr>
        <w:t xml:space="preserve"> with Acconon C-44 and Gelucire 44/14. Initially, the ability of Acconon C-44 and Gelucire 44/14 to solidify different lipids, such as Captex 355 (triglyceride), Capmul MCM (a monoglyceride) and Capmul PG-8 (a propylene glycol monoester), at room temperature were determined. Samples were prepared at lipid to solidifying agent (Acconon C-44 or Gelucire 44/14) ratios 7:3, 6:4, 1:1, 4:6, and 3:7 w/w by m</w:t>
      </w:r>
      <w:r>
        <w:rPr>
          <w:rFonts w:ascii="Times New Roman" w:hAnsi="Times New Roman"/>
          <w:sz w:val="24"/>
          <w:szCs w:val="24"/>
        </w:rPr>
        <w:t xml:space="preserve">elting </w:t>
      </w:r>
      <w:r w:rsidR="00C65D94">
        <w:rPr>
          <w:rFonts w:ascii="Times New Roman" w:hAnsi="Times New Roman"/>
          <w:sz w:val="24"/>
          <w:szCs w:val="24"/>
        </w:rPr>
        <w:t xml:space="preserve">the </w:t>
      </w:r>
      <w:r>
        <w:rPr>
          <w:rFonts w:ascii="Times New Roman" w:hAnsi="Times New Roman"/>
          <w:sz w:val="24"/>
          <w:szCs w:val="24"/>
        </w:rPr>
        <w:t>solidifying agents at ~65</w:t>
      </w:r>
      <w:r w:rsidRPr="00C73649">
        <w:rPr>
          <w:rFonts w:ascii="Times New Roman" w:hAnsi="Times New Roman"/>
          <w:sz w:val="24"/>
          <w:szCs w:val="24"/>
        </w:rPr>
        <w:t xml:space="preserve">ºC and then mixing </w:t>
      </w:r>
      <w:r w:rsidR="00C65D94">
        <w:rPr>
          <w:rFonts w:ascii="Times New Roman" w:hAnsi="Times New Roman"/>
          <w:sz w:val="24"/>
          <w:szCs w:val="24"/>
        </w:rPr>
        <w:t xml:space="preserve">various </w:t>
      </w:r>
      <w:r w:rsidRPr="00C73649">
        <w:rPr>
          <w:rFonts w:ascii="Times New Roman" w:hAnsi="Times New Roman"/>
          <w:sz w:val="24"/>
          <w:szCs w:val="24"/>
        </w:rPr>
        <w:t>lipids with them at the elevated temperature. When the hot mixtures were cooled to room temperature (~20-25ºC), it was observed that only Captex 355 solidified at all ratios with both Acconon C-44 and Gelucire 44/14, i.e., as high as 70% lipid content in the formulation. On the other hand, when Capmul MCM and Capmul PG-8 were used as lipids, the mixtures either did not solidify or solidified only at low lipid to solidifying agent ratios. Therefore, only Captex 355 was used as the lipid in further studies with Acconon C-44 or Gelucire 44/14.</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 xml:space="preserve">Although the mixtures of Captex 355 with Acconon C-44 or Gelucire 44/14 solidified at room temperature, the formulations did not disperse in aqueous media to form microemulsion or </w:t>
      </w:r>
      <w:r w:rsidRPr="00C73649">
        <w:rPr>
          <w:rFonts w:ascii="Times New Roman" w:hAnsi="Times New Roman"/>
          <w:sz w:val="24"/>
          <w:szCs w:val="24"/>
        </w:rPr>
        <w:lastRenderedPageBreak/>
        <w:t>emulsion. Rather, there was a phase separation of Captex 355 from aqueous media. In other words, despite their amp</w:t>
      </w:r>
      <w:r w:rsidR="00C65D94">
        <w:rPr>
          <w:rFonts w:ascii="Times New Roman" w:hAnsi="Times New Roman"/>
          <w:sz w:val="24"/>
          <w:szCs w:val="24"/>
        </w:rPr>
        <w:t>hiphilic nature, Acconon C-44 and</w:t>
      </w:r>
      <w:r w:rsidRPr="00C73649">
        <w:rPr>
          <w:rFonts w:ascii="Times New Roman" w:hAnsi="Times New Roman"/>
          <w:sz w:val="24"/>
          <w:szCs w:val="24"/>
        </w:rPr>
        <w:t xml:space="preserve"> Gelucire 44/14 </w:t>
      </w:r>
      <w:r w:rsidR="00C65D94">
        <w:rPr>
          <w:rFonts w:ascii="Times New Roman" w:hAnsi="Times New Roman"/>
          <w:sz w:val="24"/>
          <w:szCs w:val="24"/>
        </w:rPr>
        <w:t>were</w:t>
      </w:r>
      <w:r w:rsidRPr="00C73649">
        <w:rPr>
          <w:rFonts w:ascii="Times New Roman" w:hAnsi="Times New Roman"/>
          <w:sz w:val="24"/>
          <w:szCs w:val="24"/>
        </w:rPr>
        <w:t xml:space="preserve"> not able to emulsify the triglyceride. For this reason, one additional surface active agent, Cremophor EL, which could also be solidified by Acconon C-44 or Gelucire 44/14, was incorporated in the system. Captex 355 and Cremophor EL were first mixed at 1:1 and 3:1 ratios, and the drug, probucol, was dissolved in them at 60 mg/g concentration.  The solutions were then mixed with molten Acconon C-44 or Gelucire 44/14 at </w:t>
      </w:r>
      <w:r w:rsidR="00ED62A8">
        <w:rPr>
          <w:rFonts w:ascii="Times New Roman" w:hAnsi="Times New Roman"/>
          <w:sz w:val="24"/>
          <w:szCs w:val="24"/>
        </w:rPr>
        <w:t>the elevated temperature of ~65</w:t>
      </w:r>
      <w:r w:rsidR="00C65D94">
        <w:rPr>
          <w:rFonts w:ascii="Times New Roman" w:hAnsi="Times New Roman"/>
          <w:sz w:val="24"/>
          <w:szCs w:val="24"/>
        </w:rPr>
        <w:t>ºC</w:t>
      </w:r>
      <w:r w:rsidRPr="00C73649">
        <w:rPr>
          <w:rFonts w:ascii="Times New Roman" w:hAnsi="Times New Roman"/>
          <w:sz w:val="24"/>
          <w:szCs w:val="24"/>
        </w:rPr>
        <w:t xml:space="preserve"> in 20-mL glass scintillation vials placed on hot plates.  All samples were also vortexed for 2-3 minutes in the molten state to attain homogeneous mixing. The hot solutions were manually filled into #00 hard gelatin capsules (~1g). The capsules were stored at room temperature for at least 48 hours to ensure complete solidification of their contents before analysis. Formulations without the incorporation of drug were also filled in capsules to serve as controls.</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CA3E06" w:rsidP="00354FB6">
      <w:pPr>
        <w:autoSpaceDE w:val="0"/>
        <w:autoSpaceDN w:val="0"/>
        <w:adjustRightInd w:val="0"/>
        <w:spacing w:after="0" w:line="480" w:lineRule="auto"/>
        <w:jc w:val="both"/>
        <w:rPr>
          <w:rFonts w:ascii="Times New Roman" w:hAnsi="Times New Roman"/>
          <w:b/>
          <w:i/>
          <w:sz w:val="24"/>
          <w:szCs w:val="24"/>
        </w:rPr>
      </w:pPr>
      <w:r>
        <w:rPr>
          <w:rFonts w:ascii="Times New Roman" w:hAnsi="Times New Roman"/>
          <w:b/>
          <w:i/>
          <w:sz w:val="24"/>
          <w:szCs w:val="24"/>
        </w:rPr>
        <w:t>Characterization of f</w:t>
      </w:r>
      <w:r w:rsidR="00354FB6" w:rsidRPr="00C73649">
        <w:rPr>
          <w:rFonts w:ascii="Times New Roman" w:hAnsi="Times New Roman"/>
          <w:b/>
          <w:i/>
          <w:sz w:val="24"/>
          <w:szCs w:val="24"/>
        </w:rPr>
        <w:t>ormulation</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All the solid preconcentrates containing Acconon C-44 and Gelucire 44/14 formed upon cooling, with and without drug, were characterized by powder-X-ray diffractometry and differential scanning calorimetry. Selected solid systems were also examined microscopically to observe their microstructures.</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eastAsia="Times New Roman" w:hAnsi="Times New Roman"/>
          <w:i/>
          <w:iCs/>
          <w:sz w:val="24"/>
          <w:szCs w:val="24"/>
        </w:rPr>
      </w:pPr>
      <w:r w:rsidRPr="00C73649">
        <w:rPr>
          <w:rFonts w:ascii="Times New Roman" w:eastAsia="Times New Roman" w:hAnsi="Times New Roman"/>
          <w:i/>
          <w:iCs/>
          <w:sz w:val="24"/>
          <w:szCs w:val="24"/>
        </w:rPr>
        <w:t>Powder X-ray diffractometry (P-XRD)</w:t>
      </w:r>
    </w:p>
    <w:p w:rsidR="00354FB6" w:rsidRPr="00C73649" w:rsidRDefault="00354FB6" w:rsidP="00354FB6">
      <w:pPr>
        <w:autoSpaceDE w:val="0"/>
        <w:autoSpaceDN w:val="0"/>
        <w:adjustRightInd w:val="0"/>
        <w:spacing w:after="0" w:line="480" w:lineRule="auto"/>
        <w:jc w:val="both"/>
        <w:rPr>
          <w:rFonts w:ascii="Times New Roman" w:hAnsi="Times New Roman"/>
          <w:b/>
          <w:i/>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lastRenderedPageBreak/>
        <w:t xml:space="preserve">The </w:t>
      </w:r>
      <w:r w:rsidR="007F49FC">
        <w:rPr>
          <w:rFonts w:ascii="Times New Roman" w:hAnsi="Times New Roman"/>
          <w:sz w:val="24"/>
          <w:szCs w:val="24"/>
        </w:rPr>
        <w:t>P-XRD</w:t>
      </w:r>
      <w:r w:rsidRPr="00C73649">
        <w:rPr>
          <w:rFonts w:ascii="Times New Roman" w:hAnsi="Times New Roman"/>
          <w:sz w:val="24"/>
          <w:szCs w:val="24"/>
        </w:rPr>
        <w:t xml:space="preserve"> study was performed at room temperature using an X-ray diffractometer (X-ray Diffractometer XRD-6000, </w:t>
      </w:r>
      <w:r w:rsidR="007F49FC" w:rsidRPr="00C73649">
        <w:rPr>
          <w:rFonts w:ascii="Times New Roman" w:hAnsi="Times New Roman"/>
          <w:sz w:val="24"/>
          <w:szCs w:val="24"/>
        </w:rPr>
        <w:t>Shimadzu</w:t>
      </w:r>
      <w:r w:rsidR="007F49FC">
        <w:rPr>
          <w:rFonts w:ascii="Times New Roman" w:hAnsi="Times New Roman"/>
          <w:sz w:val="24"/>
          <w:szCs w:val="24"/>
        </w:rPr>
        <w:t>,</w:t>
      </w:r>
      <w:r w:rsidR="007F49FC" w:rsidRPr="00C73649">
        <w:rPr>
          <w:rFonts w:ascii="Times New Roman" w:hAnsi="Times New Roman"/>
          <w:sz w:val="24"/>
          <w:szCs w:val="24"/>
        </w:rPr>
        <w:t xml:space="preserve"> </w:t>
      </w:r>
      <w:r w:rsidRPr="00C73649">
        <w:rPr>
          <w:rFonts w:ascii="Times New Roman" w:hAnsi="Times New Roman"/>
          <w:sz w:val="24"/>
          <w:szCs w:val="24"/>
        </w:rPr>
        <w:t>Kyoto, Japan). The diffraction patterns were measured with a voltage of 40</w:t>
      </w:r>
      <w:r w:rsidR="007F49FC">
        <w:rPr>
          <w:rFonts w:ascii="Times New Roman" w:hAnsi="Times New Roman"/>
          <w:sz w:val="24"/>
          <w:szCs w:val="24"/>
        </w:rPr>
        <w:t xml:space="preserve"> </w:t>
      </w:r>
      <w:r w:rsidRPr="00C73649">
        <w:rPr>
          <w:rFonts w:ascii="Times New Roman" w:hAnsi="Times New Roman"/>
          <w:sz w:val="24"/>
          <w:szCs w:val="24"/>
        </w:rPr>
        <w:t>kV and a current of 30</w:t>
      </w:r>
      <w:r w:rsidR="007F49FC">
        <w:rPr>
          <w:rFonts w:ascii="Times New Roman" w:hAnsi="Times New Roman"/>
          <w:sz w:val="24"/>
          <w:szCs w:val="24"/>
        </w:rPr>
        <w:t xml:space="preserve"> </w:t>
      </w:r>
      <w:r w:rsidRPr="00C73649">
        <w:rPr>
          <w:rFonts w:ascii="Times New Roman" w:hAnsi="Times New Roman"/>
          <w:sz w:val="24"/>
          <w:szCs w:val="24"/>
        </w:rPr>
        <w:t>mA over a 2θ range of 10-80º using a step size of 0.02º at a scan speed of 4º/ minute. The P-XRD intensities of solid preconcentrates were compared by measuring approximat</w:t>
      </w:r>
      <w:r w:rsidR="007F49FC">
        <w:rPr>
          <w:rFonts w:ascii="Times New Roman" w:hAnsi="Times New Roman"/>
          <w:sz w:val="24"/>
          <w:szCs w:val="24"/>
        </w:rPr>
        <w:t>e peak intensities at 2θ = 23.1º and 23.2</w:t>
      </w:r>
      <w:r w:rsidRPr="00C73649">
        <w:rPr>
          <w:rFonts w:ascii="Times New Roman" w:hAnsi="Times New Roman"/>
          <w:sz w:val="24"/>
          <w:szCs w:val="24"/>
        </w:rPr>
        <w:t>º, respectively, for Acconon C-44 and Gelucire44/14.</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CA3E06" w:rsidP="00354FB6">
      <w:pPr>
        <w:autoSpaceDE w:val="0"/>
        <w:autoSpaceDN w:val="0"/>
        <w:adjustRightInd w:val="0"/>
        <w:spacing w:after="0" w:line="480" w:lineRule="auto"/>
        <w:jc w:val="both"/>
        <w:rPr>
          <w:rFonts w:ascii="Times New Roman" w:eastAsia="Times New Roman" w:hAnsi="Times New Roman"/>
          <w:i/>
          <w:iCs/>
          <w:sz w:val="24"/>
          <w:szCs w:val="24"/>
        </w:rPr>
      </w:pPr>
      <w:r>
        <w:rPr>
          <w:rFonts w:ascii="Times New Roman" w:eastAsia="Times New Roman" w:hAnsi="Times New Roman"/>
          <w:i/>
          <w:iCs/>
          <w:sz w:val="24"/>
          <w:szCs w:val="24"/>
        </w:rPr>
        <w:t>Differential scanning c</w:t>
      </w:r>
      <w:r w:rsidR="00354FB6" w:rsidRPr="00C73649">
        <w:rPr>
          <w:rFonts w:ascii="Times New Roman" w:eastAsia="Times New Roman" w:hAnsi="Times New Roman"/>
          <w:i/>
          <w:iCs/>
          <w:sz w:val="24"/>
          <w:szCs w:val="24"/>
        </w:rPr>
        <w:t>alorimetry (DSC)</w:t>
      </w:r>
    </w:p>
    <w:p w:rsidR="00354FB6" w:rsidRPr="00C73649" w:rsidRDefault="00354FB6" w:rsidP="00354FB6">
      <w:pPr>
        <w:autoSpaceDE w:val="0"/>
        <w:autoSpaceDN w:val="0"/>
        <w:adjustRightInd w:val="0"/>
        <w:spacing w:after="0" w:line="480" w:lineRule="auto"/>
        <w:jc w:val="both"/>
        <w:rPr>
          <w:rFonts w:ascii="Times New Roman" w:hAnsi="Times New Roman"/>
          <w:b/>
          <w:i/>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 xml:space="preserve">The thermal characteristics of </w:t>
      </w:r>
      <w:r w:rsidR="007F49FC">
        <w:rPr>
          <w:rFonts w:ascii="Times New Roman" w:hAnsi="Times New Roman"/>
          <w:sz w:val="24"/>
          <w:szCs w:val="24"/>
        </w:rPr>
        <w:t xml:space="preserve">the </w:t>
      </w:r>
      <w:r w:rsidRPr="00C73649">
        <w:rPr>
          <w:rFonts w:ascii="Times New Roman" w:hAnsi="Times New Roman"/>
          <w:sz w:val="24"/>
          <w:szCs w:val="24"/>
        </w:rPr>
        <w:t xml:space="preserve">solidifying agents (Acconon C-44 and Gelucire 44/14) and various formulations were determined </w:t>
      </w:r>
      <w:r w:rsidR="007F49FC">
        <w:rPr>
          <w:rFonts w:ascii="Times New Roman" w:hAnsi="Times New Roman"/>
          <w:sz w:val="24"/>
          <w:szCs w:val="24"/>
        </w:rPr>
        <w:t>by DSC</w:t>
      </w:r>
      <w:r w:rsidRPr="00C73649">
        <w:rPr>
          <w:rFonts w:ascii="Times New Roman" w:hAnsi="Times New Roman"/>
          <w:sz w:val="24"/>
          <w:szCs w:val="24"/>
        </w:rPr>
        <w:t xml:space="preserve"> (Pyris Diamond</w:t>
      </w:r>
      <w:r w:rsidR="007F49FC" w:rsidRPr="007F49FC">
        <w:rPr>
          <w:rFonts w:ascii="Times New Roman" w:hAnsi="Times New Roman"/>
          <w:sz w:val="24"/>
          <w:szCs w:val="24"/>
        </w:rPr>
        <w:t xml:space="preserve"> </w:t>
      </w:r>
      <w:r w:rsidR="007F49FC" w:rsidRPr="00C73649">
        <w:rPr>
          <w:rFonts w:ascii="Times New Roman" w:hAnsi="Times New Roman"/>
          <w:sz w:val="24"/>
          <w:szCs w:val="24"/>
        </w:rPr>
        <w:t>DSC-7</w:t>
      </w:r>
      <w:r w:rsidRPr="00C73649">
        <w:rPr>
          <w:rFonts w:ascii="Times New Roman" w:hAnsi="Times New Roman"/>
          <w:sz w:val="24"/>
          <w:szCs w:val="24"/>
        </w:rPr>
        <w:t xml:space="preserve">, Perkin-Elmer, </w:t>
      </w:r>
      <w:r w:rsidR="009E0E57">
        <w:rPr>
          <w:rFonts w:ascii="Times New Roman" w:hAnsi="Times New Roman"/>
          <w:sz w:val="24"/>
          <w:szCs w:val="24"/>
        </w:rPr>
        <w:t>Waltham</w:t>
      </w:r>
      <w:r w:rsidRPr="00C73649">
        <w:rPr>
          <w:rFonts w:ascii="Times New Roman" w:hAnsi="Times New Roman"/>
          <w:sz w:val="24"/>
          <w:szCs w:val="24"/>
        </w:rPr>
        <w:t xml:space="preserve">, </w:t>
      </w:r>
      <w:r w:rsidR="009E0E57">
        <w:rPr>
          <w:rFonts w:ascii="Times New Roman" w:hAnsi="Times New Roman"/>
          <w:sz w:val="24"/>
          <w:szCs w:val="24"/>
        </w:rPr>
        <w:t xml:space="preserve">MA, </w:t>
      </w:r>
      <w:r w:rsidRPr="00C73649">
        <w:rPr>
          <w:rFonts w:ascii="Times New Roman" w:hAnsi="Times New Roman"/>
          <w:sz w:val="24"/>
          <w:szCs w:val="24"/>
        </w:rPr>
        <w:t>USA). Samples, accurately weighed in the range of 2 to 5 mg, were sealed into aluminum pans by crimping. The scans for all samples were recorded after holding for 5 min at the starting temperature (2</w:t>
      </w:r>
      <w:r w:rsidRPr="00C73649">
        <w:rPr>
          <w:rFonts w:ascii="Times New Roman" w:eastAsia="Times New Roman" w:hAnsi="Times New Roman"/>
          <w:sz w:val="24"/>
          <w:szCs w:val="24"/>
        </w:rPr>
        <w:t>0ºC)</w:t>
      </w:r>
      <w:r w:rsidRPr="00C73649">
        <w:rPr>
          <w:rFonts w:ascii="Times New Roman" w:hAnsi="Times New Roman"/>
          <w:sz w:val="24"/>
          <w:szCs w:val="24"/>
        </w:rPr>
        <w:t xml:space="preserve"> and then heating from 20 to 60ºC with a heating rate of 5ºC/min under an extra dry nitrogen gas purge (20mL/min).</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DF5615" w:rsidP="00354FB6">
      <w:pPr>
        <w:autoSpaceDE w:val="0"/>
        <w:autoSpaceDN w:val="0"/>
        <w:adjustRightInd w:val="0"/>
        <w:spacing w:after="0" w:line="480" w:lineRule="auto"/>
        <w:jc w:val="both"/>
        <w:rPr>
          <w:rFonts w:ascii="Times New Roman" w:hAnsi="Times New Roman"/>
          <w:sz w:val="24"/>
          <w:szCs w:val="24"/>
        </w:rPr>
      </w:pPr>
      <w:r>
        <w:rPr>
          <w:rFonts w:ascii="Times New Roman" w:eastAsia="Times New Roman" w:hAnsi="Times New Roman"/>
          <w:i/>
          <w:iCs/>
          <w:sz w:val="24"/>
          <w:szCs w:val="24"/>
        </w:rPr>
        <w:t>Microscopic</w:t>
      </w:r>
      <w:r w:rsidR="00CA3E06">
        <w:rPr>
          <w:rFonts w:ascii="Times New Roman" w:eastAsia="Times New Roman" w:hAnsi="Times New Roman"/>
          <w:i/>
          <w:iCs/>
          <w:sz w:val="24"/>
          <w:szCs w:val="24"/>
        </w:rPr>
        <w:t xml:space="preserve"> e</w:t>
      </w:r>
      <w:r w:rsidR="00354FB6" w:rsidRPr="00C73649">
        <w:rPr>
          <w:rFonts w:ascii="Times New Roman" w:eastAsia="Times New Roman" w:hAnsi="Times New Roman"/>
          <w:i/>
          <w:iCs/>
          <w:sz w:val="24"/>
          <w:szCs w:val="24"/>
        </w:rPr>
        <w:t>xamination</w:t>
      </w:r>
      <w:r w:rsidR="00354FB6" w:rsidRPr="00C73649">
        <w:rPr>
          <w:rFonts w:ascii="Times New Roman" w:hAnsi="Times New Roman"/>
          <w:sz w:val="24"/>
          <w:szCs w:val="24"/>
        </w:rPr>
        <w:t xml:space="preserve"> </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eastAsia="Times New Roman" w:hAnsi="Times New Roman"/>
          <w:sz w:val="24"/>
          <w:szCs w:val="24"/>
        </w:rPr>
      </w:pPr>
      <w:r w:rsidRPr="00C73649">
        <w:rPr>
          <w:rFonts w:ascii="Times New Roman" w:eastAsia="Times New Roman" w:hAnsi="Times New Roman"/>
          <w:sz w:val="24"/>
          <w:szCs w:val="24"/>
        </w:rPr>
        <w:t xml:space="preserve">Solid preconcentrates were analyzed using an optical microscope fitted with cross-polarizing lenses (Nikon Microscope Eclipse </w:t>
      </w:r>
      <w:r w:rsidR="00DF5615">
        <w:rPr>
          <w:rFonts w:ascii="Times New Roman" w:eastAsia="Times New Roman" w:hAnsi="Times New Roman"/>
          <w:sz w:val="24"/>
          <w:szCs w:val="24"/>
        </w:rPr>
        <w:t>50i, Morrell Instrument Co.</w:t>
      </w:r>
      <w:r w:rsidRPr="00C73649">
        <w:rPr>
          <w:rFonts w:ascii="Times New Roman" w:eastAsia="Times New Roman" w:hAnsi="Times New Roman"/>
          <w:sz w:val="24"/>
          <w:szCs w:val="24"/>
        </w:rPr>
        <w:t xml:space="preserve">, Melville, NY, USA) and a confocal fluorescence microscope (Leica Microsystems Inc., Exton, PA, USA) with </w:t>
      </w:r>
      <w:r w:rsidR="00DF5615">
        <w:rPr>
          <w:rFonts w:ascii="Times New Roman" w:eastAsia="Times New Roman" w:hAnsi="Times New Roman"/>
          <w:sz w:val="24"/>
          <w:szCs w:val="24"/>
        </w:rPr>
        <w:t xml:space="preserve">the wavelengths of </w:t>
      </w:r>
      <w:r w:rsidRPr="00C73649">
        <w:rPr>
          <w:rFonts w:ascii="Times New Roman" w:eastAsia="Times New Roman" w:hAnsi="Times New Roman"/>
          <w:sz w:val="24"/>
          <w:szCs w:val="24"/>
        </w:rPr>
        <w:t xml:space="preserve">514 nm </w:t>
      </w:r>
      <w:r w:rsidR="00DF5615">
        <w:rPr>
          <w:rFonts w:ascii="Times New Roman" w:eastAsia="Times New Roman" w:hAnsi="Times New Roman"/>
          <w:sz w:val="24"/>
          <w:szCs w:val="24"/>
        </w:rPr>
        <w:t xml:space="preserve">for excitation and </w:t>
      </w:r>
      <w:r w:rsidRPr="00C73649">
        <w:rPr>
          <w:rFonts w:ascii="Times New Roman" w:eastAsia="Times New Roman" w:hAnsi="Times New Roman"/>
          <w:sz w:val="24"/>
          <w:szCs w:val="24"/>
        </w:rPr>
        <w:t xml:space="preserve">550 - 605 nm </w:t>
      </w:r>
      <w:r w:rsidR="00DF5615">
        <w:rPr>
          <w:rFonts w:ascii="Times New Roman" w:eastAsia="Times New Roman" w:hAnsi="Times New Roman"/>
          <w:sz w:val="24"/>
          <w:szCs w:val="24"/>
        </w:rPr>
        <w:t>for emission</w:t>
      </w:r>
      <w:r w:rsidRPr="00C73649">
        <w:rPr>
          <w:rFonts w:ascii="Times New Roman" w:eastAsia="Times New Roman" w:hAnsi="Times New Roman"/>
          <w:sz w:val="24"/>
          <w:szCs w:val="24"/>
        </w:rPr>
        <w:t xml:space="preserve"> and </w:t>
      </w:r>
      <w:r w:rsidR="00DF5615">
        <w:rPr>
          <w:rFonts w:ascii="Times New Roman" w:eastAsia="Times New Roman" w:hAnsi="Times New Roman"/>
          <w:sz w:val="24"/>
          <w:szCs w:val="24"/>
        </w:rPr>
        <w:t xml:space="preserve">using the </w:t>
      </w:r>
      <w:r w:rsidRPr="00C73649">
        <w:rPr>
          <w:rFonts w:ascii="Times New Roman" w:eastAsia="Times New Roman" w:hAnsi="Times New Roman"/>
          <w:sz w:val="24"/>
          <w:szCs w:val="24"/>
        </w:rPr>
        <w:t xml:space="preserve">bandpass filter of DD458-514 nm. The optical microscopic images were captured using Nikon Digital </w:t>
      </w:r>
      <w:r w:rsidRPr="00C73649">
        <w:rPr>
          <w:rFonts w:ascii="Times New Roman" w:eastAsia="Times New Roman" w:hAnsi="Times New Roman"/>
          <w:sz w:val="24"/>
          <w:szCs w:val="24"/>
        </w:rPr>
        <w:lastRenderedPageBreak/>
        <w:t>Camera (DS 5000, Nikon Inc., Melville, NY, USA) with magnification of X100.</w:t>
      </w:r>
      <w:r w:rsidRPr="00C73649">
        <w:rPr>
          <w:rFonts w:ascii="Times New Roman" w:hAnsi="Times New Roman"/>
          <w:sz w:val="24"/>
          <w:szCs w:val="24"/>
        </w:rPr>
        <w:t xml:space="preserve"> </w:t>
      </w:r>
      <w:r w:rsidRPr="00C73649">
        <w:rPr>
          <w:rFonts w:ascii="Times New Roman" w:eastAsia="Times New Roman" w:hAnsi="Times New Roman"/>
          <w:sz w:val="24"/>
          <w:szCs w:val="24"/>
        </w:rPr>
        <w:t>For fluorescence microscopy, Nile red, which is a fluorescent probe</w:t>
      </w:r>
      <w:r w:rsidR="009E0E57">
        <w:rPr>
          <w:rFonts w:ascii="Times New Roman" w:eastAsia="Times New Roman" w:hAnsi="Times New Roman"/>
          <w:sz w:val="24"/>
          <w:szCs w:val="24"/>
        </w:rPr>
        <w:t xml:space="preserve"> for lipid (27), was dissolved in a </w:t>
      </w:r>
      <w:r w:rsidRPr="00C73649">
        <w:rPr>
          <w:rFonts w:ascii="Times New Roman" w:eastAsia="Times New Roman" w:hAnsi="Times New Roman"/>
          <w:sz w:val="24"/>
          <w:szCs w:val="24"/>
        </w:rPr>
        <w:t xml:space="preserve">molten formulation, two drops of the melt was placed on a glass slide and covered with a glass cover slip, and finally the edges of the cover slip were sealed with nail polish. The prepared slides were then allowed to cool in two different ways: (a) letting them to cool under ambient condition (shock cooling) and (b) cooling in an oven (GCA/Precision Scientific, Chicago, IL, USA) from ~60 to 25ºC at the rate of 0.1ºC/min (controlled cooling). </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b/>
          <w:sz w:val="24"/>
          <w:szCs w:val="24"/>
        </w:rPr>
      </w:pPr>
      <w:r w:rsidRPr="00C73649">
        <w:rPr>
          <w:rFonts w:ascii="Times New Roman" w:eastAsia="Times New Roman" w:hAnsi="Times New Roman"/>
          <w:b/>
          <w:bCs/>
          <w:i/>
          <w:iCs/>
          <w:sz w:val="24"/>
          <w:szCs w:val="24"/>
        </w:rPr>
        <w:t>Dispersion Test</w:t>
      </w:r>
      <w:r w:rsidR="00C65D94">
        <w:rPr>
          <w:rFonts w:ascii="Times New Roman" w:eastAsia="Times New Roman" w:hAnsi="Times New Roman"/>
          <w:b/>
          <w:bCs/>
          <w:i/>
          <w:iCs/>
          <w:sz w:val="24"/>
          <w:szCs w:val="24"/>
        </w:rPr>
        <w:t>ing</w:t>
      </w:r>
      <w:r w:rsidRPr="00C73649">
        <w:rPr>
          <w:rFonts w:ascii="Times New Roman" w:eastAsia="Times New Roman" w:hAnsi="Times New Roman"/>
          <w:b/>
          <w:bCs/>
          <w:i/>
          <w:iCs/>
          <w:sz w:val="24"/>
          <w:szCs w:val="24"/>
        </w:rPr>
        <w:t xml:space="preserve"> </w:t>
      </w:r>
    </w:p>
    <w:p w:rsidR="00354FB6" w:rsidRPr="00C73649" w:rsidRDefault="00354FB6" w:rsidP="00354FB6">
      <w:pPr>
        <w:autoSpaceDE w:val="0"/>
        <w:autoSpaceDN w:val="0"/>
        <w:adjustRightInd w:val="0"/>
        <w:spacing w:after="0" w:line="480" w:lineRule="auto"/>
        <w:jc w:val="both"/>
        <w:rPr>
          <w:rFonts w:ascii="Times New Roman" w:hAnsi="Times New Roman"/>
          <w:b/>
          <w:sz w:val="24"/>
          <w:szCs w:val="24"/>
        </w:rPr>
      </w:pPr>
    </w:p>
    <w:p w:rsidR="00354FB6"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The efficiency of  self-emulsification and dispersion of solid systems were assessed </w:t>
      </w:r>
      <w:r w:rsidR="0037767D">
        <w:rPr>
          <w:rFonts w:ascii="Times New Roman" w:hAnsi="Times New Roman"/>
          <w:sz w:val="24"/>
          <w:szCs w:val="24"/>
        </w:rPr>
        <w:t>by the</w:t>
      </w:r>
      <w:r w:rsidRPr="00C73649">
        <w:rPr>
          <w:rFonts w:ascii="Times New Roman" w:hAnsi="Times New Roman"/>
          <w:sz w:val="24"/>
          <w:szCs w:val="24"/>
        </w:rPr>
        <w:t xml:space="preserve"> USP apparatus II (Paddle method; Distek Inc., NJ, USA) at 50 rpm and 37</w:t>
      </w:r>
      <w:r w:rsidRPr="00C73649">
        <w:rPr>
          <w:rFonts w:ascii="Times New Roman"/>
          <w:sz w:val="24"/>
          <w:szCs w:val="24"/>
        </w:rPr>
        <w:t>⁰</w:t>
      </w:r>
      <w:r w:rsidRPr="00C73649">
        <w:rPr>
          <w:rFonts w:ascii="Times New Roman" w:hAnsi="Times New Roman"/>
          <w:sz w:val="24"/>
          <w:szCs w:val="24"/>
        </w:rPr>
        <w:t xml:space="preserve"> C using 250 mL 0.01N HCL (pH~2) as dispersion medium. Pipettes with siliconized tips were used to withdraw the aliquots from the dispersion vessels. Aliquots </w:t>
      </w:r>
      <w:r>
        <w:rPr>
          <w:rFonts w:ascii="Times New Roman" w:hAnsi="Times New Roman"/>
          <w:sz w:val="24"/>
          <w:szCs w:val="24"/>
        </w:rPr>
        <w:t xml:space="preserve">withdrawn from each vessel at </w:t>
      </w:r>
      <w:r w:rsidR="0037767D">
        <w:rPr>
          <w:rFonts w:ascii="Times New Roman" w:hAnsi="Times New Roman"/>
          <w:sz w:val="24"/>
          <w:szCs w:val="24"/>
        </w:rPr>
        <w:t xml:space="preserve">10,15, </w:t>
      </w:r>
      <w:r w:rsidRPr="00C73649">
        <w:rPr>
          <w:rFonts w:ascii="Times New Roman" w:hAnsi="Times New Roman"/>
          <w:sz w:val="24"/>
          <w:szCs w:val="24"/>
        </w:rPr>
        <w:t>30, 45,</w:t>
      </w:r>
      <w:r w:rsidR="0037767D">
        <w:rPr>
          <w:rFonts w:ascii="Times New Roman" w:hAnsi="Times New Roman"/>
          <w:sz w:val="24"/>
          <w:szCs w:val="24"/>
        </w:rPr>
        <w:t xml:space="preserve"> 60, 120 and 180 min</w:t>
      </w:r>
      <w:r w:rsidRPr="00C73649">
        <w:rPr>
          <w:rFonts w:ascii="Times New Roman" w:hAnsi="Times New Roman"/>
          <w:sz w:val="24"/>
          <w:szCs w:val="24"/>
        </w:rPr>
        <w:t xml:space="preserve"> were placed in disposable plastic cuvettes (Beckman Coulter disposable cell, Beckman Coulter Inc., CA, USA) for particle size using Delsa Nano C Particle Analyzer (Beckman Coulter, Beckman Coulter Inc., CA, USA). Unfilter</w:t>
      </w:r>
      <w:r w:rsidR="0037767D">
        <w:rPr>
          <w:rFonts w:ascii="Times New Roman" w:hAnsi="Times New Roman"/>
          <w:sz w:val="24"/>
          <w:szCs w:val="24"/>
        </w:rPr>
        <w:t>ed samples were also analyzed</w:t>
      </w:r>
      <w:r w:rsidRPr="00C73649">
        <w:rPr>
          <w:rFonts w:ascii="Times New Roman" w:hAnsi="Times New Roman"/>
          <w:sz w:val="24"/>
          <w:szCs w:val="24"/>
        </w:rPr>
        <w:t xml:space="preserve"> for drug concentration in dispersion media; </w:t>
      </w:r>
      <w:r w:rsidR="0037767D">
        <w:rPr>
          <w:rFonts w:ascii="Times New Roman" w:hAnsi="Times New Roman"/>
          <w:sz w:val="24"/>
          <w:szCs w:val="24"/>
        </w:rPr>
        <w:t xml:space="preserve">the </w:t>
      </w:r>
      <w:r w:rsidRPr="00C73649">
        <w:rPr>
          <w:rFonts w:ascii="Times New Roman" w:hAnsi="Times New Roman"/>
          <w:sz w:val="24"/>
          <w:szCs w:val="24"/>
        </w:rPr>
        <w:t xml:space="preserve">aliquots were not filtered as it reduced drug concentration since some of the oil droplets in the dispersion fluid could be larger than the pore size of the 0.45 µm filter used. The volume of </w:t>
      </w:r>
      <w:r w:rsidR="0037767D">
        <w:rPr>
          <w:rFonts w:ascii="Times New Roman" w:hAnsi="Times New Roman"/>
          <w:sz w:val="24"/>
          <w:szCs w:val="24"/>
        </w:rPr>
        <w:t xml:space="preserve">the </w:t>
      </w:r>
      <w:r w:rsidRPr="00C73649">
        <w:rPr>
          <w:rFonts w:ascii="Times New Roman" w:hAnsi="Times New Roman"/>
          <w:sz w:val="24"/>
          <w:szCs w:val="24"/>
        </w:rPr>
        <w:t xml:space="preserve">dispersion medium in each vessel was kept constant by replacing the same volume of aliquot withdrawn </w:t>
      </w:r>
      <w:r w:rsidR="0037767D">
        <w:rPr>
          <w:rFonts w:ascii="Times New Roman" w:hAnsi="Times New Roman"/>
          <w:sz w:val="24"/>
          <w:szCs w:val="24"/>
        </w:rPr>
        <w:t xml:space="preserve">with </w:t>
      </w:r>
      <w:r w:rsidRPr="00C73649">
        <w:rPr>
          <w:rFonts w:ascii="Times New Roman" w:hAnsi="Times New Roman"/>
          <w:sz w:val="24"/>
          <w:szCs w:val="24"/>
        </w:rPr>
        <w:t xml:space="preserve">0.01N HCl. To evaluate the effect of drug loading on emulsification of lipids from solid systems, the dispersion test and the </w:t>
      </w:r>
      <w:r w:rsidRPr="00C73649">
        <w:rPr>
          <w:rFonts w:ascii="Times New Roman" w:hAnsi="Times New Roman"/>
          <w:sz w:val="24"/>
          <w:szCs w:val="24"/>
        </w:rPr>
        <w:lastRenderedPageBreak/>
        <w:t>particle size analysis were also conducted on formulations without the drug present. All experiments were carried out in triplicates.</w:t>
      </w:r>
    </w:p>
    <w:p w:rsidR="009E3D39" w:rsidRPr="00C73649" w:rsidRDefault="009E3D39" w:rsidP="00354FB6">
      <w:pPr>
        <w:spacing w:line="480" w:lineRule="auto"/>
        <w:jc w:val="both"/>
        <w:rPr>
          <w:rFonts w:ascii="Times New Roman" w:hAnsi="Times New Roman"/>
          <w:sz w:val="24"/>
          <w:szCs w:val="24"/>
        </w:rPr>
      </w:pPr>
    </w:p>
    <w:p w:rsidR="00354FB6" w:rsidRPr="00C73649" w:rsidRDefault="0037767D" w:rsidP="00354FB6">
      <w:pPr>
        <w:spacing w:line="480" w:lineRule="auto"/>
        <w:jc w:val="both"/>
        <w:rPr>
          <w:rFonts w:ascii="Times New Roman" w:hAnsi="Times New Roman"/>
          <w:sz w:val="24"/>
          <w:szCs w:val="24"/>
        </w:rPr>
      </w:pPr>
      <w:r>
        <w:rPr>
          <w:rFonts w:ascii="Times New Roman" w:eastAsia="Times New Roman" w:hAnsi="Times New Roman"/>
          <w:b/>
          <w:bCs/>
          <w:i/>
          <w:iCs/>
          <w:sz w:val="24"/>
          <w:szCs w:val="24"/>
        </w:rPr>
        <w:t>HPLC a</w:t>
      </w:r>
      <w:r w:rsidR="00354FB6" w:rsidRPr="00C73649">
        <w:rPr>
          <w:rFonts w:ascii="Times New Roman" w:eastAsia="Times New Roman" w:hAnsi="Times New Roman"/>
          <w:b/>
          <w:bCs/>
          <w:i/>
          <w:iCs/>
          <w:sz w:val="24"/>
          <w:szCs w:val="24"/>
        </w:rPr>
        <w:t>nalysis</w:t>
      </w:r>
    </w:p>
    <w:p w:rsidR="00354FB6" w:rsidRPr="00C73649" w:rsidRDefault="00354FB6" w:rsidP="00354FB6">
      <w:pPr>
        <w:spacing w:line="480" w:lineRule="auto"/>
        <w:jc w:val="both"/>
        <w:rPr>
          <w:rFonts w:ascii="Times New Roman" w:hAnsi="Times New Roman"/>
          <w:sz w:val="24"/>
          <w:szCs w:val="24"/>
        </w:rPr>
      </w:pPr>
      <w:r w:rsidRPr="00C73649">
        <w:rPr>
          <w:rFonts w:ascii="Times New Roman" w:eastAsia="Times New Roman" w:hAnsi="Times New Roman"/>
          <w:sz w:val="24"/>
          <w:szCs w:val="24"/>
        </w:rPr>
        <w:t>The HPLC analysis of probucol was conducted using a quaternary pump, an Agilent 1100 autosampler and a diode array detector (HP 1100 series, Agilent Technologies, Wilmington, DE, USA). The chromatographic column used was C</w:t>
      </w:r>
      <w:r w:rsidRPr="00C73649">
        <w:rPr>
          <w:rFonts w:ascii="Times New Roman" w:eastAsia="Times New Roman" w:hAnsi="Times New Roman"/>
          <w:sz w:val="24"/>
          <w:szCs w:val="24"/>
          <w:vertAlign w:val="subscript"/>
        </w:rPr>
        <w:t>8</w:t>
      </w:r>
      <w:r w:rsidRPr="00C73649">
        <w:rPr>
          <w:rFonts w:ascii="Times New Roman" w:eastAsia="Times New Roman" w:hAnsi="Times New Roman"/>
          <w:sz w:val="24"/>
          <w:szCs w:val="24"/>
        </w:rPr>
        <w:t xml:space="preserve"> Waters X</w:t>
      </w:r>
      <w:r w:rsidR="00DF5615">
        <w:rPr>
          <w:rFonts w:ascii="Times New Roman" w:eastAsia="Times New Roman" w:hAnsi="Times New Roman"/>
          <w:sz w:val="24"/>
          <w:szCs w:val="24"/>
        </w:rPr>
        <w:t>-</w:t>
      </w:r>
      <w:r w:rsidRPr="00C73649">
        <w:rPr>
          <w:rFonts w:ascii="Times New Roman" w:eastAsia="Times New Roman" w:hAnsi="Times New Roman"/>
          <w:sz w:val="24"/>
          <w:szCs w:val="24"/>
        </w:rPr>
        <w:t>Bridge column (3.5µm), 4.6 mm x 150 mm. A methanol-water mixture (95:5 v/v) was used as the mobile phase at a rate of 1 mL/min, and the detection wavelength was set at 243</w:t>
      </w:r>
      <w:r w:rsidR="0037767D">
        <w:rPr>
          <w:rFonts w:ascii="Times New Roman" w:eastAsia="Times New Roman" w:hAnsi="Times New Roman"/>
          <w:sz w:val="24"/>
          <w:szCs w:val="24"/>
        </w:rPr>
        <w:t xml:space="preserve"> </w:t>
      </w:r>
      <w:r w:rsidRPr="00C73649">
        <w:rPr>
          <w:rFonts w:ascii="Times New Roman" w:eastAsia="Times New Roman" w:hAnsi="Times New Roman"/>
          <w:sz w:val="24"/>
          <w:szCs w:val="24"/>
        </w:rPr>
        <w:t>nm.</w:t>
      </w:r>
    </w:p>
    <w:p w:rsidR="00354FB6" w:rsidRPr="00C73649" w:rsidRDefault="00354FB6" w:rsidP="00354FB6">
      <w:pPr>
        <w:spacing w:line="480" w:lineRule="auto"/>
        <w:jc w:val="both"/>
        <w:rPr>
          <w:rFonts w:ascii="Times New Roman" w:hAnsi="Times New Roman"/>
          <w:b/>
          <w:sz w:val="24"/>
          <w:szCs w:val="24"/>
        </w:rPr>
      </w:pPr>
    </w:p>
    <w:p w:rsidR="00354FB6" w:rsidRPr="00C73649" w:rsidRDefault="005D52CD" w:rsidP="00354FB6">
      <w:pPr>
        <w:spacing w:line="480" w:lineRule="auto"/>
        <w:jc w:val="both"/>
        <w:rPr>
          <w:rFonts w:ascii="Times New Roman" w:hAnsi="Times New Roman"/>
          <w:b/>
          <w:sz w:val="24"/>
          <w:szCs w:val="24"/>
        </w:rPr>
      </w:pPr>
      <w:r w:rsidRPr="00C73649">
        <w:rPr>
          <w:rFonts w:ascii="Times New Roman" w:hAnsi="Times New Roman"/>
          <w:b/>
          <w:sz w:val="24"/>
          <w:szCs w:val="24"/>
        </w:rPr>
        <w:t>RESULTS AND DISCUSSION</w:t>
      </w:r>
    </w:p>
    <w:p w:rsidR="00B84A4E" w:rsidRDefault="00B84A4E" w:rsidP="00354FB6">
      <w:pPr>
        <w:spacing w:line="480" w:lineRule="auto"/>
        <w:jc w:val="both"/>
        <w:rPr>
          <w:rFonts w:ascii="Times New Roman" w:hAnsi="Times New Roman"/>
          <w:b/>
          <w:i/>
          <w:sz w:val="24"/>
          <w:szCs w:val="24"/>
        </w:rPr>
      </w:pPr>
    </w:p>
    <w:p w:rsidR="00354FB6" w:rsidRPr="00C73649" w:rsidRDefault="0037767D" w:rsidP="00354FB6">
      <w:pPr>
        <w:spacing w:line="480" w:lineRule="auto"/>
        <w:jc w:val="both"/>
        <w:rPr>
          <w:rFonts w:ascii="Times New Roman" w:hAnsi="Times New Roman"/>
          <w:b/>
          <w:i/>
          <w:sz w:val="24"/>
          <w:szCs w:val="24"/>
        </w:rPr>
      </w:pPr>
      <w:r>
        <w:rPr>
          <w:rFonts w:ascii="Times New Roman" w:hAnsi="Times New Roman"/>
          <w:b/>
          <w:i/>
          <w:sz w:val="24"/>
          <w:szCs w:val="24"/>
        </w:rPr>
        <w:t>Development of solid l</w:t>
      </w:r>
      <w:r w:rsidR="00354FB6" w:rsidRPr="00C73649">
        <w:rPr>
          <w:rFonts w:ascii="Times New Roman" w:hAnsi="Times New Roman"/>
          <w:b/>
          <w:i/>
          <w:sz w:val="24"/>
          <w:szCs w:val="24"/>
        </w:rPr>
        <w:t xml:space="preserve">ipid-based </w:t>
      </w:r>
      <w:r>
        <w:rPr>
          <w:rFonts w:ascii="Times New Roman" w:hAnsi="Times New Roman"/>
          <w:b/>
          <w:i/>
          <w:sz w:val="24"/>
          <w:szCs w:val="24"/>
        </w:rPr>
        <w:t>f</w:t>
      </w:r>
      <w:r w:rsidR="00354FB6" w:rsidRPr="00C73649">
        <w:rPr>
          <w:rFonts w:ascii="Times New Roman" w:hAnsi="Times New Roman"/>
          <w:b/>
          <w:i/>
          <w:sz w:val="24"/>
          <w:szCs w:val="24"/>
        </w:rPr>
        <w:t>ormulations</w:t>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The ability of lauroyl polyoxyl glycerides (Acconon C-44 and Gelucire 44/14) to solidify monoesters and triesters of medium chain fatty acids were compared in the present study. The monoesters used were glyceryl caprylate/caprate (Capmul MCM) and </w:t>
      </w:r>
      <w:r w:rsidR="0037767D">
        <w:rPr>
          <w:rFonts w:ascii="Times New Roman" w:eastAsia="Times New Roman" w:hAnsi="Times New Roman"/>
          <w:sz w:val="24"/>
          <w:szCs w:val="24"/>
        </w:rPr>
        <w:t>PG</w:t>
      </w:r>
      <w:r w:rsidRPr="00C73649">
        <w:rPr>
          <w:rFonts w:ascii="Times New Roman" w:eastAsia="Times New Roman" w:hAnsi="Times New Roman"/>
          <w:sz w:val="24"/>
          <w:szCs w:val="24"/>
        </w:rPr>
        <w:t xml:space="preserve"> monocaprylate (Capmul PG-8), while the triester used was caprylic/capric triglyceride (Captex 355). It was determined by powder X-ray diffraction studies that Capmul PG-8 could not be solidified by any of the solidifying agents used (</w:t>
      </w:r>
      <w:r w:rsidRPr="00C73649">
        <w:rPr>
          <w:rFonts w:ascii="Times New Roman" w:hAnsi="Times New Roman"/>
          <w:sz w:val="24"/>
          <w:szCs w:val="24"/>
        </w:rPr>
        <w:t xml:space="preserve">Acconon C-44 or Gelucire 44/14), while Capmul MCM could not be solidified by Gelucire 44/14 at all and Acconon C-44 could solidify it only at low lipid content in the mixture (40% w/w and lower). In contrast, the triester (triglyceride) Captex 355 </w:t>
      </w:r>
      <w:r w:rsidRPr="00C73649">
        <w:rPr>
          <w:rFonts w:ascii="Times New Roman" w:hAnsi="Times New Roman"/>
          <w:sz w:val="24"/>
          <w:szCs w:val="24"/>
        </w:rPr>
        <w:lastRenderedPageBreak/>
        <w:t>could be solidified at all lipid</w:t>
      </w:r>
      <w:r w:rsidR="00DF5615">
        <w:rPr>
          <w:rFonts w:ascii="Times New Roman" w:hAnsi="Times New Roman"/>
          <w:sz w:val="24"/>
          <w:szCs w:val="24"/>
        </w:rPr>
        <w:t>s</w:t>
      </w:r>
      <w:r w:rsidRPr="00C73649">
        <w:rPr>
          <w:rFonts w:ascii="Times New Roman" w:hAnsi="Times New Roman"/>
          <w:sz w:val="24"/>
          <w:szCs w:val="24"/>
        </w:rPr>
        <w:t xml:space="preserve"> to surfactant ratios used (3:7 to 7:3, w/w), i.e., up to 70% w/w lipid could be solidified by Acconon C-44 and Gelucire 44/14.  The powder XRD patterns of Captex 355-Acconon C-44 and Captex 355-Gelucire 44/14 mixtures in Fig. 1 confirm the crystallinity of the solidifying agents in the mixtures. These results are contrary to what were observed earlier with PEG 3350</w:t>
      </w:r>
      <w:r>
        <w:rPr>
          <w:rFonts w:ascii="Times New Roman" w:hAnsi="Times New Roman"/>
          <w:sz w:val="24"/>
          <w:szCs w:val="24"/>
        </w:rPr>
        <w:t xml:space="preserve"> (23)</w:t>
      </w:r>
      <w:r w:rsidRPr="00C73649">
        <w:rPr>
          <w:rFonts w:ascii="Times New Roman" w:hAnsi="Times New Roman"/>
          <w:sz w:val="24"/>
          <w:szCs w:val="24"/>
        </w:rPr>
        <w:t xml:space="preserve"> and poloxamer 188</w:t>
      </w:r>
      <w:r>
        <w:rPr>
          <w:rFonts w:ascii="Times New Roman" w:hAnsi="Times New Roman"/>
          <w:sz w:val="24"/>
          <w:szCs w:val="24"/>
        </w:rPr>
        <w:t xml:space="preserve"> (24)</w:t>
      </w:r>
      <w:r w:rsidRPr="00C73649">
        <w:rPr>
          <w:rFonts w:ascii="Times New Roman" w:hAnsi="Times New Roman"/>
          <w:sz w:val="24"/>
          <w:szCs w:val="24"/>
        </w:rPr>
        <w:t xml:space="preserve"> as solidifying agents, which solidified monoesters and not the triesters. Thus, the results of the present study demonstrate a novel approach of solidifying triglycerides in dosage forms by using lauroyl polyoxyl glycerides as solidifying agents. </w:t>
      </w: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As mentioned earlier in the experimental section, the lipid (Captex 355) did not disperse in aqueous media to form emulsion or microemulsion when it was </w:t>
      </w:r>
      <w:r w:rsidR="00BE684C">
        <w:rPr>
          <w:rFonts w:ascii="Times New Roman" w:hAnsi="Times New Roman"/>
          <w:sz w:val="24"/>
          <w:szCs w:val="24"/>
        </w:rPr>
        <w:t>formulated</w:t>
      </w:r>
      <w:r w:rsidRPr="00C73649">
        <w:rPr>
          <w:rFonts w:ascii="Times New Roman" w:hAnsi="Times New Roman"/>
          <w:sz w:val="24"/>
          <w:szCs w:val="24"/>
        </w:rPr>
        <w:t xml:space="preserve"> alone with Acconon C-44 or Gelucire 44/14 and an additional surfactant was necessary to disperse the lipid</w:t>
      </w:r>
      <w:r w:rsidR="00BE684C">
        <w:rPr>
          <w:rFonts w:ascii="Times New Roman" w:hAnsi="Times New Roman"/>
          <w:sz w:val="24"/>
          <w:szCs w:val="24"/>
        </w:rPr>
        <w:t xml:space="preserve"> in aqueous media</w:t>
      </w:r>
      <w:r w:rsidRPr="00C73649">
        <w:rPr>
          <w:rFonts w:ascii="Times New Roman" w:hAnsi="Times New Roman"/>
          <w:sz w:val="24"/>
          <w:szCs w:val="24"/>
        </w:rPr>
        <w:t>. The powder XRD in Fig. 2 shows that Cremophor E</w:t>
      </w:r>
      <w:r w:rsidR="007962C6">
        <w:rPr>
          <w:rFonts w:ascii="Times New Roman" w:hAnsi="Times New Roman"/>
          <w:sz w:val="24"/>
          <w:szCs w:val="24"/>
        </w:rPr>
        <w:t>L</w:t>
      </w:r>
      <w:r w:rsidRPr="00C73649">
        <w:rPr>
          <w:rFonts w:ascii="Times New Roman" w:hAnsi="Times New Roman"/>
          <w:sz w:val="24"/>
          <w:szCs w:val="24"/>
        </w:rPr>
        <w:t>, which serves as an excellent dispersing agent for lipids in aqueous media</w:t>
      </w:r>
      <w:r>
        <w:rPr>
          <w:rFonts w:ascii="Times New Roman" w:hAnsi="Times New Roman"/>
          <w:sz w:val="24"/>
          <w:szCs w:val="24"/>
        </w:rPr>
        <w:t xml:space="preserve"> (11, 12) </w:t>
      </w:r>
      <w:r w:rsidRPr="00C73649">
        <w:rPr>
          <w:rFonts w:ascii="Times New Roman" w:hAnsi="Times New Roman"/>
          <w:sz w:val="24"/>
          <w:szCs w:val="24"/>
        </w:rPr>
        <w:t xml:space="preserve">could also be solidified by Acconon C-44 and Gelucire 44/14. Further, the 1:1-mixture of Captex </w:t>
      </w:r>
      <w:r w:rsidR="00BE684C">
        <w:rPr>
          <w:rFonts w:ascii="Times New Roman" w:hAnsi="Times New Roman"/>
          <w:sz w:val="24"/>
          <w:szCs w:val="24"/>
        </w:rPr>
        <w:t xml:space="preserve">355 and Cremophor EL could </w:t>
      </w:r>
      <w:r w:rsidRPr="00C73649">
        <w:rPr>
          <w:rFonts w:ascii="Times New Roman" w:hAnsi="Times New Roman"/>
          <w:sz w:val="24"/>
          <w:szCs w:val="24"/>
        </w:rPr>
        <w:t xml:space="preserve">be solidified by Acconon C-44 and Gelucire 44/14 (Fig. 3). The results similar to those in Fig. 3 could be obtained when Captex 355 and Cremophor EL were used at other ratios (e.g., 3:1 and 1:3 w/w). These results, therefore, show that </w:t>
      </w:r>
      <w:r w:rsidR="00BE684C">
        <w:rPr>
          <w:rFonts w:ascii="Times New Roman" w:hAnsi="Times New Roman"/>
          <w:sz w:val="24"/>
          <w:szCs w:val="24"/>
        </w:rPr>
        <w:t xml:space="preserve">the </w:t>
      </w:r>
      <w:r w:rsidRPr="00C73649">
        <w:rPr>
          <w:rFonts w:ascii="Times New Roman" w:hAnsi="Times New Roman"/>
          <w:sz w:val="24"/>
          <w:szCs w:val="24"/>
        </w:rPr>
        <w:t>lipid-based systems consisting of the triglyceride of medium chain fatty acids and a suitable surfactant may also be solidified by lauroyl polyoxyl glycerides (Acconon C-44 or Gelucire 44/14).</w:t>
      </w:r>
    </w:p>
    <w:p w:rsidR="00354FB6" w:rsidRPr="00C73649" w:rsidRDefault="00354FB6" w:rsidP="00354FB6">
      <w:pPr>
        <w:spacing w:line="480" w:lineRule="auto"/>
        <w:jc w:val="both"/>
        <w:rPr>
          <w:rFonts w:ascii="Times New Roman" w:hAnsi="Times New Roman"/>
          <w:sz w:val="24"/>
          <w:szCs w:val="24"/>
        </w:rPr>
      </w:pPr>
    </w:p>
    <w:p w:rsidR="00354FB6" w:rsidRPr="00C73649" w:rsidRDefault="00BE684C" w:rsidP="00354FB6">
      <w:pPr>
        <w:spacing w:line="480" w:lineRule="auto"/>
        <w:jc w:val="both"/>
        <w:rPr>
          <w:rFonts w:ascii="Times New Roman" w:hAnsi="Times New Roman"/>
          <w:b/>
          <w:sz w:val="24"/>
          <w:szCs w:val="24"/>
        </w:rPr>
      </w:pPr>
      <w:r>
        <w:rPr>
          <w:rFonts w:ascii="Times New Roman" w:eastAsia="Times New Roman" w:hAnsi="Times New Roman"/>
          <w:b/>
          <w:bCs/>
          <w:i/>
          <w:iCs/>
          <w:sz w:val="24"/>
          <w:szCs w:val="24"/>
        </w:rPr>
        <w:t>Physicochemical characterization of solid lipid-based f</w:t>
      </w:r>
      <w:r w:rsidR="00354FB6" w:rsidRPr="00C73649">
        <w:rPr>
          <w:rFonts w:ascii="Times New Roman" w:eastAsia="Times New Roman" w:hAnsi="Times New Roman"/>
          <w:b/>
          <w:bCs/>
          <w:i/>
          <w:iCs/>
          <w:sz w:val="24"/>
          <w:szCs w:val="24"/>
        </w:rPr>
        <w:t>ormulations</w:t>
      </w:r>
    </w:p>
    <w:p w:rsidR="00354FB6" w:rsidRPr="00C73649" w:rsidRDefault="00354FB6" w:rsidP="00354FB6">
      <w:pPr>
        <w:spacing w:line="480" w:lineRule="auto"/>
        <w:jc w:val="both"/>
        <w:rPr>
          <w:rFonts w:ascii="Times New Roman" w:eastAsia="Times New Roman" w:hAnsi="Times New Roman"/>
          <w:sz w:val="24"/>
          <w:szCs w:val="24"/>
        </w:rPr>
      </w:pPr>
    </w:p>
    <w:p w:rsidR="00354FB6" w:rsidRPr="00C73649" w:rsidRDefault="00354FB6" w:rsidP="00354FB6">
      <w:pPr>
        <w:spacing w:line="480" w:lineRule="auto"/>
        <w:jc w:val="both"/>
        <w:rPr>
          <w:rFonts w:ascii="Times New Roman" w:hAnsi="Times New Roman"/>
          <w:b/>
          <w:sz w:val="24"/>
          <w:szCs w:val="24"/>
        </w:rPr>
      </w:pPr>
      <w:r w:rsidRPr="00C73649">
        <w:rPr>
          <w:rFonts w:ascii="Times New Roman" w:eastAsia="Times New Roman" w:hAnsi="Times New Roman"/>
          <w:i/>
          <w:iCs/>
          <w:sz w:val="24"/>
          <w:szCs w:val="24"/>
        </w:rPr>
        <w:t>Powder X-ray diffractometry</w:t>
      </w:r>
      <w:r w:rsidR="007E3D10">
        <w:rPr>
          <w:rFonts w:ascii="Times New Roman" w:eastAsia="Times New Roman" w:hAnsi="Times New Roman"/>
          <w:i/>
          <w:iCs/>
          <w:sz w:val="24"/>
          <w:szCs w:val="24"/>
        </w:rPr>
        <w:t xml:space="preserve"> (P-XRD)</w:t>
      </w:r>
    </w:p>
    <w:p w:rsidR="009E3D3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Neat Acconon C-44 and neat Geluc</w:t>
      </w:r>
      <w:r>
        <w:rPr>
          <w:rFonts w:ascii="Times New Roman" w:hAnsi="Times New Roman"/>
          <w:sz w:val="24"/>
          <w:szCs w:val="24"/>
        </w:rPr>
        <w:t>ire 44/14 are solid at room temperature</w:t>
      </w:r>
      <w:r w:rsidRPr="00C73649">
        <w:rPr>
          <w:rFonts w:ascii="Times New Roman" w:hAnsi="Times New Roman"/>
          <w:sz w:val="24"/>
          <w:szCs w:val="24"/>
        </w:rPr>
        <w:t>. Their powder X-ray diffraction patterns in Fig. 1 showed similar crystalline peaks for both of them at 2θ = 19.1º and 23.1º.As the liquid Captex 355, Cremophor EL or the mixture of Captex 355 and Cremophor EL were added to the solid lauroyl polyoxyl glycerides, the consistency of the solids gradually changed from solid to semisolid, and, visually, the liquid appeared to be uniformly distributed in the solid matrices as there were no phase separation or syneresis of liquid</w:t>
      </w:r>
      <w:r w:rsidR="00BE684C">
        <w:rPr>
          <w:rFonts w:ascii="Times New Roman" w:hAnsi="Times New Roman"/>
          <w:sz w:val="24"/>
          <w:szCs w:val="24"/>
        </w:rPr>
        <w:t>s. Fig. 1, 2 and 3 show the P-</w:t>
      </w:r>
      <w:r w:rsidRPr="00C73649">
        <w:rPr>
          <w:rFonts w:ascii="Times New Roman" w:hAnsi="Times New Roman"/>
          <w:sz w:val="24"/>
          <w:szCs w:val="24"/>
        </w:rPr>
        <w:t>XRD patterns of Acconon C-44 and Gelucire 44/14 with increasing concentrations of, respectively, Captex 355, Cremophor EL</w:t>
      </w:r>
      <w:r w:rsidR="00BE684C">
        <w:rPr>
          <w:rFonts w:ascii="Times New Roman" w:hAnsi="Times New Roman"/>
          <w:sz w:val="24"/>
          <w:szCs w:val="24"/>
        </w:rPr>
        <w:t>,</w:t>
      </w:r>
      <w:r w:rsidRPr="00C73649">
        <w:rPr>
          <w:rFonts w:ascii="Times New Roman" w:hAnsi="Times New Roman"/>
          <w:sz w:val="24"/>
          <w:szCs w:val="24"/>
        </w:rPr>
        <w:t xml:space="preserve"> and the 1:1-mixture of Captex 355 and Cremophor EL. Characteristic powder XRD patterns of Acconon C-44 and Gelucire 44/14 were observed. The intensity of the peaks decreased and there were bigger amorphous hallows in the XRD patterns as the fraction of the liquid component (lipid, surfactant or their mixtures) in the solid or semisolid systems increased. The reduction in intensity of </w:t>
      </w:r>
      <w:r w:rsidR="00BE684C">
        <w:rPr>
          <w:rFonts w:ascii="Times New Roman" w:hAnsi="Times New Roman"/>
          <w:sz w:val="24"/>
          <w:szCs w:val="24"/>
        </w:rPr>
        <w:t>P-</w:t>
      </w:r>
      <w:r w:rsidRPr="00C73649">
        <w:rPr>
          <w:rFonts w:ascii="Times New Roman" w:hAnsi="Times New Roman"/>
          <w:sz w:val="24"/>
          <w:szCs w:val="24"/>
        </w:rPr>
        <w:t>XRD peaks with the addition of lipid, surfactant or the lipid-surfactant mixture was also in agreement with the change in consistency of solids to semisolids. The consistency of the mixtures was still hard enough that they could be formulated as solid dosage forms in hard gelatin capsules.</w:t>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 </w:t>
      </w:r>
    </w:p>
    <w:p w:rsidR="00354FB6" w:rsidRPr="00C73649" w:rsidRDefault="00BE684C" w:rsidP="00354FB6">
      <w:pPr>
        <w:spacing w:line="480" w:lineRule="auto"/>
        <w:jc w:val="both"/>
        <w:rPr>
          <w:rFonts w:ascii="Times New Roman" w:hAnsi="Times New Roman"/>
          <w:sz w:val="24"/>
          <w:szCs w:val="24"/>
        </w:rPr>
      </w:pPr>
      <w:r>
        <w:rPr>
          <w:rFonts w:ascii="Times New Roman" w:hAnsi="Times New Roman"/>
          <w:sz w:val="24"/>
          <w:szCs w:val="24"/>
        </w:rPr>
        <w:t>Figs.</w:t>
      </w:r>
      <w:r w:rsidR="00354FB6" w:rsidRPr="00C73649">
        <w:rPr>
          <w:rFonts w:ascii="Times New Roman" w:hAnsi="Times New Roman"/>
          <w:sz w:val="24"/>
          <w:szCs w:val="24"/>
        </w:rPr>
        <w:t xml:space="preserve"> 1, 2 and 3 represent powder XRD patterns of solid systems without any drug present. There was no change in the XRD p</w:t>
      </w:r>
      <w:r>
        <w:rPr>
          <w:rFonts w:ascii="Times New Roman" w:hAnsi="Times New Roman"/>
          <w:sz w:val="24"/>
          <w:szCs w:val="24"/>
        </w:rPr>
        <w:t>atterns due to the presence of p</w:t>
      </w:r>
      <w:r w:rsidR="00354FB6" w:rsidRPr="00C73649">
        <w:rPr>
          <w:rFonts w:ascii="Times New Roman" w:hAnsi="Times New Roman"/>
          <w:sz w:val="24"/>
          <w:szCs w:val="24"/>
        </w:rPr>
        <w:t xml:space="preserve">robucol in the solid systems (data now shown), indicating that the presence of drug did not have any impact in the crystallinity of Acconon C-44 and Gelucire 44/14. There were also no drug peaks present. For some samples </w:t>
      </w:r>
      <w:r w:rsidR="00354FB6" w:rsidRPr="00C73649">
        <w:rPr>
          <w:rFonts w:ascii="Times New Roman" w:hAnsi="Times New Roman"/>
          <w:sz w:val="24"/>
          <w:szCs w:val="24"/>
        </w:rPr>
        <w:lastRenderedPageBreak/>
        <w:t>containing probucol, the powder XRD analysis was repeated after 3 months of storage at room temperature, where no change in XRD patterns was observed, indicating</w:t>
      </w:r>
      <w:r>
        <w:rPr>
          <w:rFonts w:ascii="Times New Roman" w:hAnsi="Times New Roman"/>
          <w:sz w:val="24"/>
          <w:szCs w:val="24"/>
        </w:rPr>
        <w:t xml:space="preserve"> that the solid systems are</w:t>
      </w:r>
      <w:r w:rsidR="00354FB6" w:rsidRPr="00C73649">
        <w:rPr>
          <w:rFonts w:ascii="Times New Roman" w:hAnsi="Times New Roman"/>
          <w:sz w:val="24"/>
          <w:szCs w:val="24"/>
        </w:rPr>
        <w:t xml:space="preserve"> physica</w:t>
      </w:r>
      <w:r w:rsidR="007E3D10">
        <w:rPr>
          <w:rFonts w:ascii="Times New Roman" w:hAnsi="Times New Roman"/>
          <w:sz w:val="24"/>
          <w:szCs w:val="24"/>
        </w:rPr>
        <w:t>lly stable</w:t>
      </w:r>
      <w:r w:rsidR="00354FB6" w:rsidRPr="00C73649">
        <w:rPr>
          <w:rFonts w:ascii="Times New Roman" w:hAnsi="Times New Roman"/>
          <w:sz w:val="24"/>
          <w:szCs w:val="24"/>
        </w:rPr>
        <w:t>. Further, the similar powder XRD patterns of neat Acconon C-44 and Gelucire 44/14 and their mixtures with lipid and surfactant in Figs. 1, 2 and 3 demonstrate that both solidifying agents have similar crystallinity and behave similarly in dosage forms.</w:t>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 </w:t>
      </w:r>
    </w:p>
    <w:p w:rsidR="00354FB6" w:rsidRPr="00C73649" w:rsidRDefault="00354FB6" w:rsidP="00354FB6">
      <w:pPr>
        <w:spacing w:line="480" w:lineRule="auto"/>
        <w:jc w:val="both"/>
        <w:rPr>
          <w:rFonts w:ascii="Times New Roman" w:hAnsi="Times New Roman"/>
          <w:b/>
          <w:sz w:val="24"/>
          <w:szCs w:val="24"/>
        </w:rPr>
      </w:pPr>
      <w:r w:rsidRPr="00C73649">
        <w:rPr>
          <w:rFonts w:ascii="Times New Roman" w:eastAsia="Times New Roman" w:hAnsi="Times New Roman"/>
          <w:i/>
          <w:iCs/>
          <w:sz w:val="24"/>
          <w:szCs w:val="24"/>
        </w:rPr>
        <w:t>Differential Scanning Calorimetry (DSC)</w:t>
      </w:r>
    </w:p>
    <w:p w:rsidR="00354FB6" w:rsidRDefault="007E3D10" w:rsidP="00354FB6">
      <w:pPr>
        <w:spacing w:line="480" w:lineRule="auto"/>
        <w:jc w:val="both"/>
        <w:rPr>
          <w:rFonts w:ascii="Times New Roman" w:eastAsia="Times New Roman" w:hAnsi="Times New Roman"/>
          <w:bCs/>
          <w:i/>
          <w:iCs/>
          <w:sz w:val="24"/>
          <w:szCs w:val="24"/>
        </w:rPr>
      </w:pPr>
      <w:r>
        <w:rPr>
          <w:rFonts w:ascii="Times New Roman" w:hAnsi="Times New Roman"/>
          <w:sz w:val="24"/>
          <w:szCs w:val="24"/>
        </w:rPr>
        <w:t>The results of the DSC</w:t>
      </w:r>
      <w:r w:rsidR="00354FB6" w:rsidRPr="00C73649">
        <w:rPr>
          <w:rFonts w:ascii="Times New Roman" w:hAnsi="Times New Roman"/>
          <w:sz w:val="24"/>
          <w:szCs w:val="24"/>
        </w:rPr>
        <w:t xml:space="preserve"> study of neat Acconon C-44 and Gelucire 44/14 and various formulations developed in the present investigation a</w:t>
      </w:r>
      <w:r>
        <w:rPr>
          <w:rFonts w:ascii="Times New Roman" w:hAnsi="Times New Roman"/>
          <w:sz w:val="24"/>
          <w:szCs w:val="24"/>
        </w:rPr>
        <w:t>re in agreement with the P-</w:t>
      </w:r>
      <w:r w:rsidR="00354FB6" w:rsidRPr="00C73649">
        <w:rPr>
          <w:rFonts w:ascii="Times New Roman" w:hAnsi="Times New Roman"/>
          <w:sz w:val="24"/>
          <w:szCs w:val="24"/>
        </w:rPr>
        <w:t>XRD analysis. Fig. 4 shows DSC scans of Acconon C-44 and Gelucire 44/14 and their combinations with the Captex 355-Cremophor EL mixture. The melting points of neat Acconon C-44 and Gelucire 44/14 were observed to be ~ 44º C.  Melting endotherms of the solids broadened and peak melting temperatures decreased as liquid Captex 355, Cremophor EL or the Captex 355-Cremophor EL m</w:t>
      </w:r>
      <w:r>
        <w:rPr>
          <w:rFonts w:ascii="Times New Roman" w:hAnsi="Times New Roman"/>
          <w:sz w:val="24"/>
          <w:szCs w:val="24"/>
        </w:rPr>
        <w:t>ixture was added to them. Fig.</w:t>
      </w:r>
      <w:r w:rsidR="00354FB6" w:rsidRPr="00C73649">
        <w:rPr>
          <w:rFonts w:ascii="Times New Roman" w:hAnsi="Times New Roman"/>
          <w:sz w:val="24"/>
          <w:szCs w:val="24"/>
        </w:rPr>
        <w:t xml:space="preserve"> 4 shows the DSC scans obtained when increasing amounts of the 1:1-Captex 355-Cremophor EL mixture was added to Acconon C-44 (Fig. 4A) and Gelucire 44/14 (Fig. 4B), where endotherms, although broadened, were observed with the </w:t>
      </w:r>
      <w:r>
        <w:rPr>
          <w:rFonts w:ascii="Times New Roman" w:hAnsi="Times New Roman"/>
          <w:sz w:val="24"/>
          <w:szCs w:val="24"/>
        </w:rPr>
        <w:t xml:space="preserve">liquid </w:t>
      </w:r>
      <w:r w:rsidR="00354FB6" w:rsidRPr="00C73649">
        <w:rPr>
          <w:rFonts w:ascii="Times New Roman" w:hAnsi="Times New Roman"/>
          <w:sz w:val="24"/>
          <w:szCs w:val="24"/>
        </w:rPr>
        <w:t>component as high as 70% w/w. The lowering of the endothermic peaks is in agreement with the visual observation that Acconon C-44 and Gelucire 44/14 gradually change</w:t>
      </w:r>
      <w:r>
        <w:rPr>
          <w:rFonts w:ascii="Times New Roman" w:hAnsi="Times New Roman"/>
          <w:sz w:val="24"/>
          <w:szCs w:val="24"/>
        </w:rPr>
        <w:t>d</w:t>
      </w:r>
      <w:r w:rsidR="00354FB6" w:rsidRPr="00C73649">
        <w:rPr>
          <w:rFonts w:ascii="Times New Roman" w:hAnsi="Times New Roman"/>
          <w:sz w:val="24"/>
          <w:szCs w:val="24"/>
        </w:rPr>
        <w:t xml:space="preserve"> from solid to semisolid with the addition of increasing amounts of liquid components. There was no change in DSC scans when the model drug probucol was incorporated in the formulation</w:t>
      </w:r>
      <w:r>
        <w:rPr>
          <w:rFonts w:ascii="Times New Roman" w:hAnsi="Times New Roman"/>
          <w:sz w:val="24"/>
          <w:szCs w:val="24"/>
        </w:rPr>
        <w:t>s. In agreement with the P-</w:t>
      </w:r>
      <w:r w:rsidR="00354FB6" w:rsidRPr="00C73649">
        <w:rPr>
          <w:rFonts w:ascii="Times New Roman" w:hAnsi="Times New Roman"/>
          <w:sz w:val="24"/>
          <w:szCs w:val="24"/>
        </w:rPr>
        <w:t>XRD results, Acconon C-44 and Gelucire 44/14 maintained their crystallinity in presence of the liquid components in proportion to their concentrations in the formulati</w:t>
      </w:r>
      <w:r w:rsidR="00354FB6">
        <w:rPr>
          <w:rFonts w:ascii="Times New Roman" w:hAnsi="Times New Roman"/>
          <w:sz w:val="24"/>
          <w:szCs w:val="24"/>
        </w:rPr>
        <w:t>ons. T</w:t>
      </w:r>
      <w:r w:rsidR="00354FB6" w:rsidRPr="00C73649">
        <w:rPr>
          <w:rFonts w:ascii="Times New Roman" w:hAnsi="Times New Roman"/>
          <w:sz w:val="24"/>
          <w:szCs w:val="24"/>
        </w:rPr>
        <w:t xml:space="preserve">he </w:t>
      </w:r>
      <w:r w:rsidR="00354FB6" w:rsidRPr="00C73649">
        <w:rPr>
          <w:rFonts w:ascii="Times New Roman" w:hAnsi="Times New Roman"/>
          <w:sz w:val="24"/>
          <w:szCs w:val="24"/>
        </w:rPr>
        <w:lastRenderedPageBreak/>
        <w:t xml:space="preserve">enthalpy of melting of Acconon C-44 </w:t>
      </w:r>
      <w:r w:rsidR="00354FB6">
        <w:rPr>
          <w:rFonts w:ascii="Times New Roman" w:hAnsi="Times New Roman"/>
          <w:sz w:val="24"/>
          <w:szCs w:val="24"/>
        </w:rPr>
        <w:t xml:space="preserve">and Gelucire 44/14 </w:t>
      </w:r>
      <w:r w:rsidR="00354FB6" w:rsidRPr="00C73649">
        <w:rPr>
          <w:rFonts w:ascii="Times New Roman" w:hAnsi="Times New Roman"/>
          <w:sz w:val="24"/>
          <w:szCs w:val="24"/>
        </w:rPr>
        <w:t>decreased linearly as concentrations of the solidifying agents decreased, i.e., the concentration of the lipid-surfactant component increased. Similar results were earlier reported by Li et al</w:t>
      </w:r>
      <w:r w:rsidR="00BD136F">
        <w:rPr>
          <w:rFonts w:ascii="Times New Roman" w:hAnsi="Times New Roman"/>
          <w:sz w:val="24"/>
          <w:szCs w:val="24"/>
        </w:rPr>
        <w:t>.</w:t>
      </w:r>
      <w:r w:rsidR="00354FB6">
        <w:rPr>
          <w:rFonts w:ascii="Times New Roman" w:hAnsi="Times New Roman"/>
          <w:sz w:val="24"/>
          <w:szCs w:val="24"/>
        </w:rPr>
        <w:t xml:space="preserve"> (23)</w:t>
      </w:r>
      <w:r w:rsidR="00354FB6" w:rsidRPr="00C73649">
        <w:rPr>
          <w:rFonts w:ascii="Times New Roman" w:hAnsi="Times New Roman"/>
          <w:sz w:val="24"/>
          <w:szCs w:val="24"/>
        </w:rPr>
        <w:t>.</w:t>
      </w:r>
      <w:r w:rsidR="00354FB6" w:rsidRPr="00C73649">
        <w:rPr>
          <w:rFonts w:ascii="Times New Roman" w:eastAsia="Times New Roman" w:hAnsi="Times New Roman"/>
          <w:bCs/>
          <w:i/>
          <w:iCs/>
          <w:sz w:val="24"/>
          <w:szCs w:val="24"/>
        </w:rPr>
        <w:t xml:space="preserve"> </w:t>
      </w:r>
    </w:p>
    <w:p w:rsidR="009E3D39" w:rsidRPr="00C73649" w:rsidRDefault="009E3D39" w:rsidP="00354FB6">
      <w:pPr>
        <w:spacing w:line="480" w:lineRule="auto"/>
        <w:jc w:val="both"/>
        <w:rPr>
          <w:rFonts w:ascii="Times New Roman" w:eastAsia="Times New Roman" w:hAnsi="Times New Roman"/>
          <w:bCs/>
          <w:i/>
          <w:iCs/>
          <w:sz w:val="24"/>
          <w:szCs w:val="24"/>
        </w:rPr>
      </w:pPr>
    </w:p>
    <w:p w:rsidR="00354FB6" w:rsidRPr="00C73649" w:rsidRDefault="00354FB6" w:rsidP="00354FB6">
      <w:pPr>
        <w:spacing w:line="480" w:lineRule="auto"/>
        <w:jc w:val="both"/>
        <w:rPr>
          <w:rFonts w:ascii="Times New Roman" w:hAnsi="Times New Roman"/>
          <w:sz w:val="24"/>
          <w:szCs w:val="24"/>
        </w:rPr>
      </w:pPr>
      <w:r w:rsidRPr="00C73649">
        <w:rPr>
          <w:rFonts w:ascii="Times New Roman" w:eastAsia="Times New Roman" w:hAnsi="Times New Roman"/>
          <w:bCs/>
          <w:i/>
          <w:iCs/>
          <w:sz w:val="24"/>
          <w:szCs w:val="24"/>
        </w:rPr>
        <w:t xml:space="preserve">Microscopic </w:t>
      </w:r>
      <w:r w:rsidR="007E3D10">
        <w:rPr>
          <w:rFonts w:ascii="Times New Roman" w:eastAsia="Times New Roman" w:hAnsi="Times New Roman"/>
          <w:bCs/>
          <w:i/>
          <w:iCs/>
          <w:sz w:val="24"/>
          <w:szCs w:val="24"/>
        </w:rPr>
        <w:t>e</w:t>
      </w:r>
      <w:r w:rsidRPr="00C73649">
        <w:rPr>
          <w:rFonts w:ascii="Times New Roman" w:eastAsia="Times New Roman" w:hAnsi="Times New Roman"/>
          <w:bCs/>
          <w:i/>
          <w:iCs/>
          <w:sz w:val="24"/>
          <w:szCs w:val="24"/>
        </w:rPr>
        <w:t>xamination</w:t>
      </w:r>
    </w:p>
    <w:p w:rsidR="00B84A4E"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The microstructure of solid lipid-based systems is shown in Fig. </w:t>
      </w:r>
      <w:r>
        <w:rPr>
          <w:rFonts w:ascii="Times New Roman" w:hAnsi="Times New Roman"/>
          <w:sz w:val="24"/>
          <w:szCs w:val="24"/>
        </w:rPr>
        <w:t>5</w:t>
      </w:r>
      <w:r w:rsidRPr="00C73649">
        <w:rPr>
          <w:rFonts w:ascii="Times New Roman" w:hAnsi="Times New Roman"/>
          <w:sz w:val="24"/>
          <w:szCs w:val="24"/>
        </w:rPr>
        <w:t xml:space="preserve">. The optical microscopic images show that </w:t>
      </w:r>
      <w:r w:rsidR="00C226AB">
        <w:rPr>
          <w:rFonts w:ascii="Times New Roman" w:hAnsi="Times New Roman"/>
          <w:sz w:val="24"/>
          <w:szCs w:val="24"/>
        </w:rPr>
        <w:t xml:space="preserve">the </w:t>
      </w:r>
      <w:r w:rsidRPr="00C73649">
        <w:rPr>
          <w:rFonts w:ascii="Times New Roman" w:hAnsi="Times New Roman"/>
          <w:sz w:val="24"/>
          <w:szCs w:val="24"/>
        </w:rPr>
        <w:t>liquid mixture (Captex 355 and Cremophor EL) exists as a separate phase trapped into solid lauroyl polyoxyl</w:t>
      </w:r>
      <w:r w:rsidR="00C226AB">
        <w:rPr>
          <w:rFonts w:ascii="Times New Roman" w:hAnsi="Times New Roman"/>
          <w:sz w:val="24"/>
          <w:szCs w:val="24"/>
        </w:rPr>
        <w:t xml:space="preserve"> </w:t>
      </w:r>
      <w:r w:rsidRPr="00C73649">
        <w:rPr>
          <w:rFonts w:ascii="Times New Roman" w:hAnsi="Times New Roman"/>
          <w:sz w:val="24"/>
          <w:szCs w:val="24"/>
        </w:rPr>
        <w:t>glyceride clusters</w:t>
      </w:r>
      <w:r>
        <w:rPr>
          <w:rFonts w:ascii="Times New Roman" w:hAnsi="Times New Roman"/>
          <w:sz w:val="24"/>
          <w:szCs w:val="24"/>
        </w:rPr>
        <w:t xml:space="preserve"> (Fig. 5</w:t>
      </w:r>
      <w:r w:rsidRPr="00C73649">
        <w:rPr>
          <w:rFonts w:ascii="Times New Roman" w:hAnsi="Times New Roman"/>
          <w:sz w:val="24"/>
          <w:szCs w:val="24"/>
        </w:rPr>
        <w:t xml:space="preserve">B and C). To bolster the results of optical microscopy, </w:t>
      </w:r>
      <w:r w:rsidR="00C226AB">
        <w:rPr>
          <w:rFonts w:ascii="Times New Roman" w:hAnsi="Times New Roman"/>
          <w:sz w:val="24"/>
          <w:szCs w:val="24"/>
        </w:rPr>
        <w:t xml:space="preserve">the </w:t>
      </w:r>
      <w:r w:rsidRPr="00C73649">
        <w:rPr>
          <w:rFonts w:ascii="Times New Roman" w:hAnsi="Times New Roman"/>
          <w:sz w:val="24"/>
          <w:szCs w:val="24"/>
        </w:rPr>
        <w:t xml:space="preserve">confocal fluorescence microscopic examination was performed using Nile red as the fluorescent probe to visualize the non-crystalline region of the system. Again, two phases were detected with crystalline spherulites of polyoxyl </w:t>
      </w:r>
      <w:r w:rsidR="00C226AB">
        <w:rPr>
          <w:rFonts w:ascii="Times New Roman" w:hAnsi="Times New Roman"/>
          <w:sz w:val="24"/>
          <w:szCs w:val="24"/>
        </w:rPr>
        <w:t xml:space="preserve">glycerides </w:t>
      </w:r>
      <w:r w:rsidRPr="00C73649">
        <w:rPr>
          <w:rFonts w:ascii="Times New Roman" w:hAnsi="Times New Roman"/>
          <w:sz w:val="24"/>
          <w:szCs w:val="24"/>
        </w:rPr>
        <w:t xml:space="preserve">(visualized in white) and a liquid mixture (visualized in red) located in </w:t>
      </w:r>
      <w:r>
        <w:rPr>
          <w:rFonts w:ascii="Times New Roman" w:hAnsi="Times New Roman"/>
          <w:sz w:val="24"/>
          <w:szCs w:val="24"/>
        </w:rPr>
        <w:t xml:space="preserve">between polyoxyl </w:t>
      </w:r>
      <w:r w:rsidR="00C226AB">
        <w:rPr>
          <w:rFonts w:ascii="Times New Roman" w:hAnsi="Times New Roman"/>
          <w:sz w:val="24"/>
          <w:szCs w:val="24"/>
        </w:rPr>
        <w:t xml:space="preserve">glyceride </w:t>
      </w:r>
      <w:r>
        <w:rPr>
          <w:rFonts w:ascii="Times New Roman" w:hAnsi="Times New Roman"/>
          <w:sz w:val="24"/>
          <w:szCs w:val="24"/>
        </w:rPr>
        <w:t>domains (Fig. 5</w:t>
      </w:r>
      <w:r w:rsidRPr="00C73649">
        <w:rPr>
          <w:rFonts w:ascii="Times New Roman" w:hAnsi="Times New Roman"/>
          <w:sz w:val="24"/>
          <w:szCs w:val="24"/>
        </w:rPr>
        <w:t xml:space="preserve">D). </w:t>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 </w:t>
      </w:r>
    </w:p>
    <w:p w:rsidR="00C226AB" w:rsidRDefault="00354FB6" w:rsidP="00354FB6">
      <w:pPr>
        <w:spacing w:line="480" w:lineRule="auto"/>
        <w:jc w:val="both"/>
        <w:divId w:val="2095009363"/>
        <w:rPr>
          <w:rFonts w:ascii="Times New Roman" w:hAnsi="Times New Roman"/>
          <w:sz w:val="24"/>
          <w:szCs w:val="24"/>
        </w:rPr>
      </w:pPr>
      <w:r w:rsidRPr="00354FB6">
        <w:rPr>
          <w:rFonts w:ascii="Times New Roman" w:hAnsi="Times New Roman"/>
          <w:sz w:val="24"/>
          <w:szCs w:val="24"/>
        </w:rPr>
        <w:t>There are several reports in the literature showing that solid polyethylene glycols (PEG) form crystalline spherulites upon cooling from the melt</w:t>
      </w:r>
      <w:r w:rsidR="00C226AB">
        <w:rPr>
          <w:rFonts w:ascii="Times New Roman" w:hAnsi="Times New Roman"/>
          <w:sz w:val="24"/>
          <w:szCs w:val="24"/>
        </w:rPr>
        <w:t xml:space="preserve"> (28</w:t>
      </w:r>
      <w:r>
        <w:rPr>
          <w:rFonts w:ascii="Times New Roman" w:hAnsi="Times New Roman"/>
          <w:sz w:val="24"/>
          <w:szCs w:val="24"/>
        </w:rPr>
        <w:t>, 2</w:t>
      </w:r>
      <w:r w:rsidR="00C226AB">
        <w:rPr>
          <w:rFonts w:ascii="Times New Roman" w:hAnsi="Times New Roman"/>
          <w:sz w:val="24"/>
          <w:szCs w:val="24"/>
        </w:rPr>
        <w:t>9, 30</w:t>
      </w:r>
      <w:r>
        <w:rPr>
          <w:rFonts w:ascii="Times New Roman" w:hAnsi="Times New Roman"/>
          <w:sz w:val="24"/>
          <w:szCs w:val="24"/>
        </w:rPr>
        <w:t>)</w:t>
      </w:r>
      <w:r w:rsidRPr="00354FB6">
        <w:rPr>
          <w:rFonts w:ascii="Times New Roman" w:hAnsi="Times New Roman"/>
          <w:sz w:val="24"/>
          <w:szCs w:val="24"/>
        </w:rPr>
        <w:t xml:space="preserve">.  As seen from Fig. 5A, the cross-polarized optical microscope image of </w:t>
      </w:r>
      <w:r w:rsidR="00C226AB">
        <w:rPr>
          <w:rFonts w:ascii="Times New Roman" w:hAnsi="Times New Roman"/>
          <w:sz w:val="24"/>
          <w:szCs w:val="24"/>
        </w:rPr>
        <w:t xml:space="preserve">the </w:t>
      </w:r>
      <w:r w:rsidRPr="00354FB6">
        <w:rPr>
          <w:rFonts w:ascii="Times New Roman" w:hAnsi="Times New Roman"/>
          <w:sz w:val="24"/>
          <w:szCs w:val="24"/>
        </w:rPr>
        <w:t xml:space="preserve">neat lauroyl polyoxyl glyceride also shows birefringent image of crystalline spherulites. There were only minimal gaps observed between spherulites in Fig. 5A, and with the addition of the lipid-surfactant mixture, the gap between the spherulites increased. It was reported earlier that polymeric materials like solid PEG may contain both crystalline and amorphous </w:t>
      </w:r>
      <w:r w:rsidR="00C226AB">
        <w:rPr>
          <w:rFonts w:ascii="Times New Roman" w:hAnsi="Times New Roman"/>
          <w:sz w:val="24"/>
          <w:szCs w:val="24"/>
        </w:rPr>
        <w:t xml:space="preserve">domains </w:t>
      </w:r>
      <w:r w:rsidRPr="00354FB6">
        <w:rPr>
          <w:rFonts w:ascii="Times New Roman" w:hAnsi="Times New Roman"/>
          <w:sz w:val="24"/>
          <w:szCs w:val="24"/>
        </w:rPr>
        <w:t>and a liquid may be trapped in the amorphous regions of the polymeric structures</w:t>
      </w:r>
      <w:r w:rsidR="00C226AB">
        <w:rPr>
          <w:rFonts w:ascii="Times New Roman" w:hAnsi="Times New Roman"/>
          <w:sz w:val="24"/>
          <w:szCs w:val="24"/>
        </w:rPr>
        <w:t xml:space="preserve"> (31</w:t>
      </w:r>
      <w:r>
        <w:rPr>
          <w:rFonts w:ascii="Times New Roman" w:hAnsi="Times New Roman"/>
          <w:sz w:val="24"/>
          <w:szCs w:val="24"/>
        </w:rPr>
        <w:t>)</w:t>
      </w:r>
      <w:r w:rsidRPr="00354FB6">
        <w:rPr>
          <w:rFonts w:ascii="Times New Roman" w:hAnsi="Times New Roman"/>
          <w:sz w:val="24"/>
          <w:szCs w:val="24"/>
        </w:rPr>
        <w:t xml:space="preserve">. It appears that a similar mechanism exists in the trapping or immobilization of </w:t>
      </w:r>
      <w:r w:rsidR="00C226AB">
        <w:rPr>
          <w:rFonts w:ascii="Times New Roman" w:hAnsi="Times New Roman"/>
          <w:sz w:val="24"/>
          <w:szCs w:val="24"/>
        </w:rPr>
        <w:t xml:space="preserve">the </w:t>
      </w:r>
      <w:r w:rsidRPr="00354FB6">
        <w:rPr>
          <w:rFonts w:ascii="Times New Roman" w:hAnsi="Times New Roman"/>
          <w:sz w:val="24"/>
          <w:szCs w:val="24"/>
        </w:rPr>
        <w:t>liquid lipid and surfactant by lauroyl polyo</w:t>
      </w:r>
      <w:r w:rsidR="009E3D39">
        <w:rPr>
          <w:rFonts w:ascii="Times New Roman" w:hAnsi="Times New Roman"/>
          <w:sz w:val="24"/>
          <w:szCs w:val="24"/>
        </w:rPr>
        <w:t>xyl glycerides (Fig. 5B and C).</w:t>
      </w:r>
    </w:p>
    <w:p w:rsidR="009E3D39" w:rsidRDefault="009E3D39" w:rsidP="00354FB6">
      <w:pPr>
        <w:spacing w:line="480" w:lineRule="auto"/>
        <w:jc w:val="both"/>
        <w:divId w:val="2095009363"/>
        <w:rPr>
          <w:rFonts w:ascii="Times New Roman" w:hAnsi="Times New Roman"/>
          <w:sz w:val="24"/>
          <w:szCs w:val="24"/>
        </w:rPr>
      </w:pPr>
    </w:p>
    <w:p w:rsidR="00354FB6" w:rsidRDefault="00354FB6" w:rsidP="00C226AB">
      <w:pPr>
        <w:spacing w:line="480" w:lineRule="auto"/>
        <w:jc w:val="both"/>
        <w:divId w:val="2095009363"/>
        <w:rPr>
          <w:rFonts w:ascii="Times New Roman" w:hAnsi="Times New Roman"/>
          <w:sz w:val="24"/>
          <w:szCs w:val="24"/>
        </w:rPr>
      </w:pPr>
      <w:r w:rsidRPr="00354FB6">
        <w:rPr>
          <w:rFonts w:ascii="Times New Roman" w:hAnsi="Times New Roman"/>
          <w:sz w:val="24"/>
          <w:szCs w:val="24"/>
        </w:rPr>
        <w:t>It was reported in the literature that the cooling rate of melts may have a</w:t>
      </w:r>
      <w:r w:rsidR="00F83C18">
        <w:rPr>
          <w:rFonts w:ascii="Times New Roman" w:hAnsi="Times New Roman"/>
          <w:sz w:val="24"/>
          <w:szCs w:val="24"/>
        </w:rPr>
        <w:t xml:space="preserve"> major impact on the spherulite</w:t>
      </w:r>
      <w:r w:rsidRPr="00354FB6">
        <w:rPr>
          <w:rFonts w:ascii="Times New Roman" w:hAnsi="Times New Roman"/>
          <w:sz w:val="24"/>
          <w:szCs w:val="24"/>
        </w:rPr>
        <w:t xml:space="preserve"> formation</w:t>
      </w:r>
      <w:r w:rsidR="00C226AB">
        <w:rPr>
          <w:rFonts w:ascii="Times New Roman" w:hAnsi="Times New Roman"/>
          <w:sz w:val="24"/>
          <w:szCs w:val="24"/>
        </w:rPr>
        <w:t xml:space="preserve"> (32</w:t>
      </w:r>
      <w:r>
        <w:rPr>
          <w:rFonts w:ascii="Times New Roman" w:hAnsi="Times New Roman"/>
          <w:sz w:val="24"/>
          <w:szCs w:val="24"/>
        </w:rPr>
        <w:t>)</w:t>
      </w:r>
      <w:r w:rsidRPr="00354FB6">
        <w:rPr>
          <w:rFonts w:ascii="Times New Roman" w:hAnsi="Times New Roman"/>
          <w:sz w:val="24"/>
          <w:szCs w:val="24"/>
        </w:rPr>
        <w:t>.</w:t>
      </w:r>
      <w:r w:rsidR="00926B3A" w:rsidRPr="00354FB6">
        <w:rPr>
          <w:rFonts w:ascii="Times New Roman" w:hAnsi="Times New Roman"/>
          <w:sz w:val="24"/>
          <w:szCs w:val="24"/>
        </w:rPr>
        <w:fldChar w:fldCharType="begin"/>
      </w:r>
      <w:r w:rsidRPr="00354FB6">
        <w:rPr>
          <w:rFonts w:ascii="Times New Roman" w:hAnsi="Times New Roman"/>
          <w:sz w:val="24"/>
          <w:szCs w:val="24"/>
        </w:rPr>
        <w:instrText>ADDIN RW.CITE{{66 Sutananta, W. 1994}}</w:instrText>
      </w:r>
      <w:r w:rsidR="00926B3A" w:rsidRPr="00354FB6">
        <w:rPr>
          <w:rFonts w:ascii="Times New Roman" w:hAnsi="Times New Roman"/>
          <w:sz w:val="24"/>
          <w:szCs w:val="24"/>
        </w:rPr>
        <w:fldChar w:fldCharType="end"/>
      </w:r>
      <w:r w:rsidR="00C226AB">
        <w:rPr>
          <w:rFonts w:ascii="Times New Roman" w:eastAsia="Times New Roman" w:hAnsi="Times New Roman"/>
          <w:sz w:val="24"/>
          <w:szCs w:val="24"/>
        </w:rPr>
        <w:t xml:space="preserve"> </w:t>
      </w:r>
      <w:r w:rsidR="00110404">
        <w:rPr>
          <w:rFonts w:ascii="Times New Roman" w:hAnsi="Times New Roman"/>
          <w:sz w:val="24"/>
          <w:szCs w:val="24"/>
        </w:rPr>
        <w:t xml:space="preserve">Such an effect </w:t>
      </w:r>
      <w:r w:rsidRPr="00C73649">
        <w:rPr>
          <w:rFonts w:ascii="Times New Roman" w:hAnsi="Times New Roman"/>
          <w:sz w:val="24"/>
          <w:szCs w:val="24"/>
        </w:rPr>
        <w:t>was also obse</w:t>
      </w:r>
      <w:r>
        <w:rPr>
          <w:rFonts w:ascii="Times New Roman" w:hAnsi="Times New Roman"/>
          <w:sz w:val="24"/>
          <w:szCs w:val="24"/>
        </w:rPr>
        <w:t>rved in the present study. Fig 5</w:t>
      </w:r>
      <w:r w:rsidRPr="00C73649">
        <w:rPr>
          <w:rFonts w:ascii="Times New Roman" w:hAnsi="Times New Roman"/>
          <w:sz w:val="24"/>
          <w:szCs w:val="24"/>
        </w:rPr>
        <w:t xml:space="preserve">B shows the </w:t>
      </w:r>
      <w:r w:rsidR="00F83C18">
        <w:rPr>
          <w:rFonts w:ascii="Times New Roman" w:hAnsi="Times New Roman"/>
          <w:sz w:val="24"/>
          <w:szCs w:val="24"/>
        </w:rPr>
        <w:t>photo</w:t>
      </w:r>
      <w:r w:rsidRPr="00C73649">
        <w:rPr>
          <w:rFonts w:ascii="Times New Roman" w:hAnsi="Times New Roman"/>
          <w:sz w:val="24"/>
          <w:szCs w:val="24"/>
        </w:rPr>
        <w:t xml:space="preserve">micrograph of </w:t>
      </w:r>
      <w:r w:rsidR="00F83C18">
        <w:rPr>
          <w:rFonts w:ascii="Times New Roman" w:hAnsi="Times New Roman"/>
          <w:sz w:val="24"/>
          <w:szCs w:val="24"/>
        </w:rPr>
        <w:t>a solid system containing 50% liquid (</w:t>
      </w:r>
      <w:r w:rsidRPr="00C73649">
        <w:rPr>
          <w:rFonts w:ascii="Times New Roman" w:hAnsi="Times New Roman"/>
          <w:sz w:val="24"/>
          <w:szCs w:val="24"/>
        </w:rPr>
        <w:t>1:</w:t>
      </w:r>
      <w:r w:rsidR="00F83C18">
        <w:rPr>
          <w:rFonts w:ascii="Times New Roman" w:hAnsi="Times New Roman"/>
          <w:sz w:val="24"/>
          <w:szCs w:val="24"/>
        </w:rPr>
        <w:t>1 w/w Captex 355 and Cremophor EL) and 50% lauroyl polyoxyl glycerides</w:t>
      </w:r>
      <w:r w:rsidR="00110404">
        <w:rPr>
          <w:rFonts w:ascii="Times New Roman" w:hAnsi="Times New Roman"/>
          <w:sz w:val="24"/>
          <w:szCs w:val="24"/>
        </w:rPr>
        <w:t>, where the glass slide</w:t>
      </w:r>
      <w:r w:rsidRPr="00C73649">
        <w:rPr>
          <w:rFonts w:ascii="Times New Roman" w:hAnsi="Times New Roman"/>
          <w:sz w:val="24"/>
          <w:szCs w:val="24"/>
        </w:rPr>
        <w:t xml:space="preserve"> </w:t>
      </w:r>
      <w:r w:rsidR="00110404">
        <w:rPr>
          <w:rFonts w:ascii="Times New Roman" w:hAnsi="Times New Roman"/>
          <w:sz w:val="24"/>
          <w:szCs w:val="24"/>
        </w:rPr>
        <w:t>containing the molten formulation was</w:t>
      </w:r>
      <w:r w:rsidRPr="00C73649">
        <w:rPr>
          <w:rFonts w:ascii="Times New Roman" w:hAnsi="Times New Roman"/>
          <w:sz w:val="24"/>
          <w:szCs w:val="24"/>
        </w:rPr>
        <w:t xml:space="preserve"> suddenly exposed to room temperature. Since the fast cooling did not allow spherulites to grow, irregular, needle-shaped crystals of lauroyl polyoxyl gly</w:t>
      </w:r>
      <w:r>
        <w:rPr>
          <w:rFonts w:ascii="Times New Roman" w:hAnsi="Times New Roman"/>
          <w:sz w:val="24"/>
          <w:szCs w:val="24"/>
        </w:rPr>
        <w:t>cerides were observed in Fig. 5B. In contrast, Fig.5</w:t>
      </w:r>
      <w:r w:rsidRPr="00C73649">
        <w:rPr>
          <w:rFonts w:ascii="Times New Roman" w:hAnsi="Times New Roman"/>
          <w:sz w:val="24"/>
          <w:szCs w:val="24"/>
        </w:rPr>
        <w:t>C shows the microscopic image where the glass-slides were cooled at a controlled rate from 60 º C to room temperature (</w:t>
      </w:r>
      <w:r w:rsidRPr="00C73649">
        <w:rPr>
          <w:rFonts w:ascii="Times New Roman" w:eastAsia="Times New Roman" w:hAnsi="Times New Roman"/>
          <w:sz w:val="24"/>
          <w:szCs w:val="24"/>
        </w:rPr>
        <w:t xml:space="preserve">~ 25º C) over a period of 4 hours </w:t>
      </w:r>
      <w:r w:rsidRPr="00C73649">
        <w:rPr>
          <w:rFonts w:ascii="Times New Roman" w:hAnsi="Times New Roman"/>
          <w:sz w:val="24"/>
          <w:szCs w:val="24"/>
        </w:rPr>
        <w:t>in an oven to allow spherulites to grow. Thus</w:t>
      </w:r>
      <w:r w:rsidR="00110404">
        <w:rPr>
          <w:rFonts w:ascii="Times New Roman" w:hAnsi="Times New Roman"/>
          <w:sz w:val="24"/>
          <w:szCs w:val="24"/>
        </w:rPr>
        <w:t>,</w:t>
      </w:r>
      <w:r w:rsidRPr="00C73649">
        <w:rPr>
          <w:rFonts w:ascii="Times New Roman" w:hAnsi="Times New Roman"/>
          <w:sz w:val="24"/>
          <w:szCs w:val="24"/>
        </w:rPr>
        <w:t xml:space="preserve"> when </w:t>
      </w:r>
      <w:r w:rsidR="00110404">
        <w:rPr>
          <w:rFonts w:ascii="Times New Roman" w:hAnsi="Times New Roman"/>
          <w:sz w:val="24"/>
          <w:szCs w:val="24"/>
        </w:rPr>
        <w:t xml:space="preserve">the </w:t>
      </w:r>
      <w:r w:rsidRPr="00C73649">
        <w:rPr>
          <w:rFonts w:ascii="Times New Roman" w:hAnsi="Times New Roman"/>
          <w:sz w:val="24"/>
          <w:szCs w:val="24"/>
        </w:rPr>
        <w:t xml:space="preserve">molten preconcentrate was cooled slowly </w:t>
      </w:r>
      <w:r w:rsidR="00110404">
        <w:rPr>
          <w:rFonts w:ascii="Times New Roman" w:hAnsi="Times New Roman"/>
          <w:sz w:val="24"/>
          <w:szCs w:val="24"/>
        </w:rPr>
        <w:t>at a</w:t>
      </w:r>
      <w:r w:rsidRPr="00C73649">
        <w:rPr>
          <w:rFonts w:ascii="Times New Roman" w:hAnsi="Times New Roman"/>
          <w:sz w:val="24"/>
          <w:szCs w:val="24"/>
        </w:rPr>
        <w:t xml:space="preserve"> controlled </w:t>
      </w:r>
      <w:r w:rsidR="00110404">
        <w:rPr>
          <w:rFonts w:ascii="Times New Roman" w:hAnsi="Times New Roman"/>
          <w:sz w:val="24"/>
          <w:szCs w:val="24"/>
        </w:rPr>
        <w:t>rate</w:t>
      </w:r>
      <w:r w:rsidRPr="00C73649">
        <w:rPr>
          <w:rFonts w:ascii="Times New Roman" w:hAnsi="Times New Roman"/>
          <w:sz w:val="24"/>
          <w:szCs w:val="24"/>
        </w:rPr>
        <w:t>, the spherulites wer</w:t>
      </w:r>
      <w:r>
        <w:rPr>
          <w:rFonts w:ascii="Times New Roman" w:hAnsi="Times New Roman"/>
          <w:sz w:val="24"/>
          <w:szCs w:val="24"/>
        </w:rPr>
        <w:t>e well-defined as shown in Fig.5</w:t>
      </w:r>
      <w:r w:rsidRPr="00C73649">
        <w:rPr>
          <w:rFonts w:ascii="Times New Roman" w:hAnsi="Times New Roman"/>
          <w:sz w:val="24"/>
          <w:szCs w:val="24"/>
        </w:rPr>
        <w:t xml:space="preserve">C. Unlike </w:t>
      </w:r>
      <w:r w:rsidR="00110404">
        <w:rPr>
          <w:rFonts w:ascii="Times New Roman" w:hAnsi="Times New Roman"/>
          <w:sz w:val="24"/>
          <w:szCs w:val="24"/>
        </w:rPr>
        <w:t xml:space="preserve">the </w:t>
      </w:r>
      <w:r w:rsidRPr="00C73649">
        <w:rPr>
          <w:rFonts w:ascii="Times New Roman" w:hAnsi="Times New Roman"/>
          <w:sz w:val="24"/>
          <w:szCs w:val="24"/>
        </w:rPr>
        <w:t>neat polyoxylglycerides</w:t>
      </w:r>
      <w:r w:rsidR="00110404">
        <w:rPr>
          <w:rFonts w:ascii="Times New Roman" w:hAnsi="Times New Roman"/>
          <w:sz w:val="24"/>
          <w:szCs w:val="24"/>
        </w:rPr>
        <w:t>, the spherulites were separate</w:t>
      </w:r>
      <w:r w:rsidRPr="00C73649">
        <w:rPr>
          <w:rFonts w:ascii="Times New Roman" w:hAnsi="Times New Roman"/>
          <w:sz w:val="24"/>
          <w:szCs w:val="24"/>
        </w:rPr>
        <w:t xml:space="preserve"> apart from each other due to </w:t>
      </w:r>
      <w:r w:rsidR="00110404">
        <w:rPr>
          <w:rFonts w:ascii="Times New Roman" w:hAnsi="Times New Roman"/>
          <w:sz w:val="24"/>
          <w:szCs w:val="24"/>
        </w:rPr>
        <w:t xml:space="preserve">the </w:t>
      </w:r>
      <w:r w:rsidRPr="00C73649">
        <w:rPr>
          <w:rFonts w:ascii="Times New Roman" w:hAnsi="Times New Roman"/>
          <w:sz w:val="24"/>
          <w:szCs w:val="24"/>
        </w:rPr>
        <w:t xml:space="preserve">presence of </w:t>
      </w:r>
      <w:r w:rsidR="00110404">
        <w:rPr>
          <w:rFonts w:ascii="Times New Roman" w:hAnsi="Times New Roman"/>
          <w:sz w:val="24"/>
          <w:szCs w:val="24"/>
        </w:rPr>
        <w:t xml:space="preserve">a </w:t>
      </w:r>
      <w:r w:rsidRPr="00C73649">
        <w:rPr>
          <w:rFonts w:ascii="Times New Roman" w:hAnsi="Times New Roman"/>
          <w:sz w:val="24"/>
          <w:szCs w:val="24"/>
        </w:rPr>
        <w:t>liquid phase in between them. The confocal fluores</w:t>
      </w:r>
      <w:r>
        <w:rPr>
          <w:rFonts w:ascii="Times New Roman" w:hAnsi="Times New Roman"/>
          <w:sz w:val="24"/>
          <w:szCs w:val="24"/>
        </w:rPr>
        <w:t>cent microscopic image in Fig. 5</w:t>
      </w:r>
      <w:r w:rsidRPr="00C73649">
        <w:rPr>
          <w:rFonts w:ascii="Times New Roman" w:hAnsi="Times New Roman"/>
          <w:sz w:val="24"/>
          <w:szCs w:val="24"/>
        </w:rPr>
        <w:t xml:space="preserve">D further differentiates the two phases </w:t>
      </w:r>
      <w:r w:rsidR="00110404">
        <w:rPr>
          <w:rFonts w:ascii="Times New Roman" w:hAnsi="Times New Roman"/>
          <w:sz w:val="24"/>
          <w:szCs w:val="24"/>
        </w:rPr>
        <w:t>in the solid system. Since the N</w:t>
      </w:r>
      <w:r w:rsidRPr="00C73649">
        <w:rPr>
          <w:rFonts w:ascii="Times New Roman" w:hAnsi="Times New Roman"/>
          <w:sz w:val="24"/>
          <w:szCs w:val="24"/>
        </w:rPr>
        <w:t>ile red dye is sol</w:t>
      </w:r>
      <w:r w:rsidR="00110404">
        <w:rPr>
          <w:rFonts w:ascii="Times New Roman" w:hAnsi="Times New Roman"/>
          <w:sz w:val="24"/>
          <w:szCs w:val="24"/>
        </w:rPr>
        <w:t>uble only in the lipid phase</w:t>
      </w:r>
      <w:r w:rsidR="00CA3E06">
        <w:rPr>
          <w:rFonts w:ascii="Times New Roman" w:hAnsi="Times New Roman"/>
          <w:sz w:val="24"/>
          <w:szCs w:val="24"/>
        </w:rPr>
        <w:t xml:space="preserve"> (27)</w:t>
      </w:r>
      <w:r w:rsidR="00110404">
        <w:rPr>
          <w:rFonts w:ascii="Times New Roman" w:hAnsi="Times New Roman"/>
          <w:sz w:val="24"/>
          <w:szCs w:val="24"/>
        </w:rPr>
        <w:t>, the figure</w:t>
      </w:r>
      <w:r w:rsidRPr="00C73649">
        <w:rPr>
          <w:rFonts w:ascii="Times New Roman" w:hAnsi="Times New Roman"/>
          <w:sz w:val="24"/>
          <w:szCs w:val="24"/>
        </w:rPr>
        <w:t xml:space="preserve"> clearly shows that the lipid </w:t>
      </w:r>
      <w:r w:rsidR="00110404">
        <w:rPr>
          <w:rFonts w:ascii="Times New Roman" w:hAnsi="Times New Roman"/>
          <w:sz w:val="24"/>
          <w:szCs w:val="24"/>
        </w:rPr>
        <w:t xml:space="preserve">was </w:t>
      </w:r>
      <w:r w:rsidRPr="00C73649">
        <w:rPr>
          <w:rFonts w:ascii="Times New Roman" w:hAnsi="Times New Roman"/>
          <w:sz w:val="24"/>
          <w:szCs w:val="24"/>
        </w:rPr>
        <w:t>trapped in the microstructure of lauroyl polyoxyl</w:t>
      </w:r>
      <w:r w:rsidR="00110404">
        <w:rPr>
          <w:rFonts w:ascii="Times New Roman" w:hAnsi="Times New Roman"/>
          <w:sz w:val="24"/>
          <w:szCs w:val="24"/>
        </w:rPr>
        <w:t xml:space="preserve"> </w:t>
      </w:r>
      <w:r w:rsidRPr="00C73649">
        <w:rPr>
          <w:rFonts w:ascii="Times New Roman" w:hAnsi="Times New Roman"/>
          <w:sz w:val="24"/>
          <w:szCs w:val="24"/>
        </w:rPr>
        <w:t>glycerides.</w:t>
      </w:r>
    </w:p>
    <w:p w:rsidR="009E3D39" w:rsidRPr="00C226AB" w:rsidRDefault="009E3D39" w:rsidP="00C226AB">
      <w:pPr>
        <w:spacing w:line="480" w:lineRule="auto"/>
        <w:jc w:val="both"/>
        <w:divId w:val="2095009363"/>
        <w:rPr>
          <w:rFonts w:ascii="Times New Roman" w:eastAsia="Times New Roman" w:hAnsi="Times New Roman"/>
          <w:sz w:val="24"/>
          <w:szCs w:val="24"/>
        </w:rPr>
      </w:pPr>
    </w:p>
    <w:p w:rsidR="00354FB6" w:rsidRPr="00C73649" w:rsidRDefault="00354FB6" w:rsidP="00354FB6">
      <w:pPr>
        <w:spacing w:line="480" w:lineRule="auto"/>
        <w:jc w:val="both"/>
        <w:rPr>
          <w:rFonts w:ascii="Times New Roman" w:hAnsi="Times New Roman"/>
          <w:b/>
          <w:sz w:val="24"/>
          <w:szCs w:val="24"/>
        </w:rPr>
      </w:pPr>
      <w:r w:rsidRPr="00C73649">
        <w:rPr>
          <w:rFonts w:ascii="Times New Roman" w:eastAsia="Times New Roman" w:hAnsi="Times New Roman"/>
          <w:b/>
          <w:bCs/>
          <w:i/>
          <w:iCs/>
          <w:sz w:val="24"/>
          <w:szCs w:val="24"/>
        </w:rPr>
        <w:t>Dispersion Test</w:t>
      </w:r>
    </w:p>
    <w:p w:rsidR="00354FB6" w:rsidRPr="00C73649" w:rsidRDefault="00FA1C37" w:rsidP="00354FB6">
      <w:pPr>
        <w:spacing w:line="480" w:lineRule="auto"/>
        <w:jc w:val="both"/>
        <w:rPr>
          <w:rFonts w:ascii="Times New Roman" w:hAnsi="Times New Roman"/>
          <w:sz w:val="24"/>
          <w:szCs w:val="24"/>
        </w:rPr>
      </w:pPr>
      <w:r>
        <w:rPr>
          <w:rFonts w:ascii="Times New Roman" w:hAnsi="Times New Roman"/>
          <w:sz w:val="24"/>
          <w:szCs w:val="24"/>
        </w:rPr>
        <w:t>The d</w:t>
      </w:r>
      <w:r w:rsidR="00354FB6" w:rsidRPr="00C73649">
        <w:rPr>
          <w:rFonts w:ascii="Times New Roman" w:hAnsi="Times New Roman"/>
          <w:sz w:val="24"/>
          <w:szCs w:val="24"/>
        </w:rPr>
        <w:t xml:space="preserve">ispersion test was performed to determine how easily </w:t>
      </w:r>
      <w:r>
        <w:rPr>
          <w:rFonts w:ascii="Times New Roman" w:hAnsi="Times New Roman"/>
          <w:sz w:val="24"/>
          <w:szCs w:val="24"/>
        </w:rPr>
        <w:t>formulations emulsified</w:t>
      </w:r>
      <w:r w:rsidR="00354FB6" w:rsidRPr="00C73649">
        <w:rPr>
          <w:rFonts w:ascii="Times New Roman" w:hAnsi="Times New Roman"/>
          <w:sz w:val="24"/>
          <w:szCs w:val="24"/>
        </w:rPr>
        <w:t xml:space="preserve"> and </w:t>
      </w:r>
      <w:r>
        <w:rPr>
          <w:rFonts w:ascii="Times New Roman" w:hAnsi="Times New Roman"/>
          <w:sz w:val="24"/>
          <w:szCs w:val="24"/>
        </w:rPr>
        <w:t>whether the drug</w:t>
      </w:r>
      <w:r w:rsidR="00354FB6" w:rsidRPr="00C73649">
        <w:rPr>
          <w:rFonts w:ascii="Times New Roman" w:hAnsi="Times New Roman"/>
          <w:sz w:val="24"/>
          <w:szCs w:val="24"/>
        </w:rPr>
        <w:t xml:space="preserve"> precipitated during dispersion. Both Acconon C-44 and Gelucire 44/14 dispersed completely in aqueous media. However, when Captex 355 alone was mixed with them, the lipid did not disperse in aqueous media. Despite the</w:t>
      </w:r>
      <w:r>
        <w:rPr>
          <w:rFonts w:ascii="Times New Roman" w:hAnsi="Times New Roman"/>
          <w:sz w:val="24"/>
          <w:szCs w:val="24"/>
        </w:rPr>
        <w:t>ir</w:t>
      </w:r>
      <w:r w:rsidR="00354FB6" w:rsidRPr="00C73649">
        <w:rPr>
          <w:rFonts w:ascii="Times New Roman" w:hAnsi="Times New Roman"/>
          <w:sz w:val="24"/>
          <w:szCs w:val="24"/>
        </w:rPr>
        <w:t xml:space="preserve"> amphiphilic nature</w:t>
      </w:r>
      <w:r>
        <w:rPr>
          <w:rFonts w:ascii="Times New Roman" w:hAnsi="Times New Roman"/>
          <w:sz w:val="24"/>
          <w:szCs w:val="24"/>
        </w:rPr>
        <w:t>, the solidifying agents</w:t>
      </w:r>
      <w:r w:rsidR="00354FB6" w:rsidRPr="00C73649">
        <w:rPr>
          <w:rFonts w:ascii="Times New Roman" w:hAnsi="Times New Roman"/>
          <w:sz w:val="24"/>
          <w:szCs w:val="24"/>
        </w:rPr>
        <w:t xml:space="preserve"> did </w:t>
      </w:r>
      <w:r w:rsidR="00354FB6" w:rsidRPr="00C73649">
        <w:rPr>
          <w:rFonts w:ascii="Times New Roman" w:hAnsi="Times New Roman"/>
          <w:sz w:val="24"/>
          <w:szCs w:val="24"/>
        </w:rPr>
        <w:lastRenderedPageBreak/>
        <w:t>not have adequate surface activity to emulsify the lip</w:t>
      </w:r>
      <w:r>
        <w:rPr>
          <w:rFonts w:ascii="Times New Roman" w:hAnsi="Times New Roman"/>
          <w:sz w:val="24"/>
          <w:szCs w:val="24"/>
        </w:rPr>
        <w:t>id as large oil globules floating on</w:t>
      </w:r>
      <w:r w:rsidR="00354FB6" w:rsidRPr="00C73649">
        <w:rPr>
          <w:rFonts w:ascii="Times New Roman" w:hAnsi="Times New Roman"/>
          <w:sz w:val="24"/>
          <w:szCs w:val="24"/>
        </w:rPr>
        <w:t xml:space="preserve"> surface</w:t>
      </w:r>
      <w:r>
        <w:rPr>
          <w:rFonts w:ascii="Times New Roman" w:hAnsi="Times New Roman"/>
          <w:sz w:val="24"/>
          <w:szCs w:val="24"/>
        </w:rPr>
        <w:t>s</w:t>
      </w:r>
      <w:r w:rsidR="00354FB6" w:rsidRPr="00C73649">
        <w:rPr>
          <w:rFonts w:ascii="Times New Roman" w:hAnsi="Times New Roman"/>
          <w:sz w:val="24"/>
          <w:szCs w:val="24"/>
        </w:rPr>
        <w:t xml:space="preserve"> of dispersion media</w:t>
      </w:r>
      <w:r>
        <w:rPr>
          <w:rFonts w:ascii="Times New Roman" w:hAnsi="Times New Roman"/>
          <w:sz w:val="24"/>
          <w:szCs w:val="24"/>
        </w:rPr>
        <w:t xml:space="preserve"> were observed</w:t>
      </w:r>
      <w:r w:rsidR="00354FB6" w:rsidRPr="00C73649">
        <w:rPr>
          <w:rFonts w:ascii="Times New Roman" w:hAnsi="Times New Roman"/>
          <w:sz w:val="24"/>
          <w:szCs w:val="24"/>
        </w:rPr>
        <w:t>. Therefore, based on the results of earlier studies in our laboratory</w:t>
      </w:r>
      <w:r w:rsidR="007848E8">
        <w:rPr>
          <w:rFonts w:ascii="Times New Roman" w:hAnsi="Times New Roman"/>
          <w:sz w:val="24"/>
          <w:szCs w:val="24"/>
        </w:rPr>
        <w:t xml:space="preserve"> (12)</w:t>
      </w:r>
      <w:r w:rsidR="00354FB6" w:rsidRPr="00C73649">
        <w:rPr>
          <w:rFonts w:ascii="Times New Roman" w:hAnsi="Times New Roman"/>
          <w:sz w:val="24"/>
          <w:szCs w:val="24"/>
        </w:rPr>
        <w:t xml:space="preserve">, a second surfactant, Cremophor EL, that has good emulsifying properties for Captex 355 was incorporated in the system. The dispersion profiles of </w:t>
      </w:r>
      <w:r w:rsidR="00DC111F">
        <w:rPr>
          <w:rFonts w:ascii="Times New Roman" w:hAnsi="Times New Roman"/>
          <w:sz w:val="24"/>
          <w:szCs w:val="24"/>
        </w:rPr>
        <w:t xml:space="preserve">the </w:t>
      </w:r>
      <w:r w:rsidR="00354FB6" w:rsidRPr="00C73649">
        <w:rPr>
          <w:rFonts w:ascii="Times New Roman" w:hAnsi="Times New Roman"/>
          <w:sz w:val="24"/>
          <w:szCs w:val="24"/>
        </w:rPr>
        <w:t xml:space="preserve">solid systems </w:t>
      </w:r>
      <w:r>
        <w:rPr>
          <w:rFonts w:ascii="Times New Roman" w:hAnsi="Times New Roman"/>
          <w:sz w:val="24"/>
          <w:szCs w:val="24"/>
        </w:rPr>
        <w:t>of</w:t>
      </w:r>
      <w:r w:rsidR="00354FB6" w:rsidRPr="00C73649">
        <w:rPr>
          <w:rFonts w:ascii="Times New Roman" w:hAnsi="Times New Roman"/>
          <w:sz w:val="24"/>
          <w:szCs w:val="24"/>
        </w:rPr>
        <w:t xml:space="preserve"> 1:1 and 3:1 mixture of Captex 355 and Cremophor EL </w:t>
      </w:r>
      <w:r w:rsidR="00DC111F">
        <w:rPr>
          <w:rFonts w:ascii="Times New Roman" w:hAnsi="Times New Roman"/>
          <w:sz w:val="24"/>
          <w:szCs w:val="24"/>
        </w:rPr>
        <w:t xml:space="preserve">produced by using </w:t>
      </w:r>
      <w:r w:rsidR="00DC111F" w:rsidRPr="00C73649">
        <w:rPr>
          <w:rFonts w:ascii="Times New Roman" w:hAnsi="Times New Roman"/>
          <w:sz w:val="24"/>
          <w:szCs w:val="24"/>
        </w:rPr>
        <w:t>Acconon C-44 and Gelucire 44/14</w:t>
      </w:r>
      <w:r w:rsidR="00DC111F">
        <w:rPr>
          <w:rFonts w:ascii="Times New Roman" w:hAnsi="Times New Roman"/>
          <w:sz w:val="24"/>
          <w:szCs w:val="24"/>
        </w:rPr>
        <w:t>,</w:t>
      </w:r>
      <w:r w:rsidR="00DC111F" w:rsidRPr="00C73649">
        <w:rPr>
          <w:rFonts w:ascii="Times New Roman" w:hAnsi="Times New Roman"/>
          <w:sz w:val="24"/>
          <w:szCs w:val="24"/>
        </w:rPr>
        <w:t xml:space="preserve"> </w:t>
      </w:r>
      <w:r w:rsidR="00354FB6">
        <w:rPr>
          <w:rFonts w:ascii="Times New Roman" w:hAnsi="Times New Roman"/>
          <w:sz w:val="24"/>
          <w:szCs w:val="24"/>
        </w:rPr>
        <w:t>respectively</w:t>
      </w:r>
      <w:r w:rsidR="00DC111F">
        <w:rPr>
          <w:rFonts w:ascii="Times New Roman" w:hAnsi="Times New Roman"/>
          <w:sz w:val="24"/>
          <w:szCs w:val="24"/>
        </w:rPr>
        <w:t>,</w:t>
      </w:r>
      <w:r w:rsidR="00354FB6">
        <w:rPr>
          <w:rFonts w:ascii="Times New Roman" w:hAnsi="Times New Roman"/>
          <w:sz w:val="24"/>
          <w:szCs w:val="24"/>
        </w:rPr>
        <w:t xml:space="preserve"> are shown in Figs. 6 and 7</w:t>
      </w:r>
      <w:r w:rsidR="00DC111F">
        <w:rPr>
          <w:rFonts w:ascii="Times New Roman" w:hAnsi="Times New Roman"/>
          <w:sz w:val="24"/>
          <w:szCs w:val="24"/>
        </w:rPr>
        <w:t>. The e</w:t>
      </w:r>
      <w:r w:rsidR="00354FB6" w:rsidRPr="00C73649">
        <w:rPr>
          <w:rFonts w:ascii="Times New Roman" w:hAnsi="Times New Roman"/>
          <w:sz w:val="24"/>
          <w:szCs w:val="24"/>
        </w:rPr>
        <w:t>xposure of the formulation containing Captex 355-Cremophor EL mixture to 0.</w:t>
      </w:r>
      <w:r w:rsidR="00BD136F">
        <w:rPr>
          <w:rFonts w:ascii="Times New Roman" w:hAnsi="Times New Roman"/>
          <w:sz w:val="24"/>
          <w:szCs w:val="24"/>
        </w:rPr>
        <w:t>0</w:t>
      </w:r>
      <w:r w:rsidR="00354FB6" w:rsidRPr="00C73649">
        <w:rPr>
          <w:rFonts w:ascii="Times New Roman" w:hAnsi="Times New Roman"/>
          <w:sz w:val="24"/>
          <w:szCs w:val="24"/>
        </w:rPr>
        <w:t xml:space="preserve">1N HCl resulted in opaque emulsions within 35 to 40 min. In all formulations, the drug release was more than 90% at the end of 3h. </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During dispersion test</w:t>
      </w:r>
      <w:r w:rsidR="00DC111F">
        <w:rPr>
          <w:rFonts w:ascii="Times New Roman" w:hAnsi="Times New Roman"/>
          <w:sz w:val="24"/>
          <w:szCs w:val="24"/>
        </w:rPr>
        <w:t>ing</w:t>
      </w:r>
      <w:r w:rsidRPr="00C73649">
        <w:rPr>
          <w:rFonts w:ascii="Times New Roman" w:hAnsi="Times New Roman"/>
          <w:sz w:val="24"/>
          <w:szCs w:val="24"/>
        </w:rPr>
        <w:t xml:space="preserve">, </w:t>
      </w:r>
      <w:r w:rsidR="00DC111F">
        <w:rPr>
          <w:rFonts w:ascii="Times New Roman" w:hAnsi="Times New Roman"/>
          <w:sz w:val="24"/>
          <w:szCs w:val="24"/>
        </w:rPr>
        <w:t xml:space="preserve">the </w:t>
      </w:r>
      <w:r w:rsidRPr="00C73649">
        <w:rPr>
          <w:rFonts w:ascii="Times New Roman" w:hAnsi="Times New Roman"/>
          <w:sz w:val="24"/>
          <w:szCs w:val="24"/>
        </w:rPr>
        <w:t>particle size analysis of each sample was performed</w:t>
      </w:r>
      <w:r w:rsidR="00DC111F">
        <w:rPr>
          <w:rFonts w:ascii="Times New Roman" w:hAnsi="Times New Roman"/>
          <w:sz w:val="24"/>
          <w:szCs w:val="24"/>
        </w:rPr>
        <w:t>,</w:t>
      </w:r>
      <w:r w:rsidRPr="00C73649">
        <w:rPr>
          <w:rFonts w:ascii="Times New Roman" w:hAnsi="Times New Roman"/>
          <w:sz w:val="24"/>
          <w:szCs w:val="24"/>
        </w:rPr>
        <w:t xml:space="preserve"> and </w:t>
      </w:r>
      <w:r w:rsidR="00DC111F">
        <w:rPr>
          <w:rFonts w:ascii="Times New Roman" w:hAnsi="Times New Roman"/>
          <w:sz w:val="24"/>
          <w:szCs w:val="24"/>
        </w:rPr>
        <w:t xml:space="preserve">the </w:t>
      </w:r>
      <w:r w:rsidRPr="00C73649">
        <w:rPr>
          <w:rFonts w:ascii="Times New Roman" w:hAnsi="Times New Roman"/>
          <w:sz w:val="24"/>
          <w:szCs w:val="24"/>
        </w:rPr>
        <w:t>res</w:t>
      </w:r>
      <w:r w:rsidR="00DC111F">
        <w:rPr>
          <w:rFonts w:ascii="Times New Roman" w:hAnsi="Times New Roman"/>
          <w:sz w:val="24"/>
          <w:szCs w:val="24"/>
        </w:rPr>
        <w:t xml:space="preserve">ults are </w:t>
      </w:r>
      <w:r>
        <w:rPr>
          <w:rFonts w:ascii="Times New Roman" w:hAnsi="Times New Roman"/>
          <w:sz w:val="24"/>
          <w:szCs w:val="24"/>
        </w:rPr>
        <w:t>shown in the Figs. 8 and 9</w:t>
      </w:r>
      <w:r w:rsidRPr="00C73649">
        <w:rPr>
          <w:rFonts w:ascii="Times New Roman" w:hAnsi="Times New Roman"/>
          <w:sz w:val="24"/>
          <w:szCs w:val="24"/>
        </w:rPr>
        <w:t>. In solid systems containing lipid, the particle sizes of lipid globules produced in dispersion media were in t</w:t>
      </w:r>
      <w:r>
        <w:rPr>
          <w:rFonts w:ascii="Times New Roman" w:hAnsi="Times New Roman"/>
          <w:sz w:val="24"/>
          <w:szCs w:val="24"/>
        </w:rPr>
        <w:t>he range of 200 to 45</w:t>
      </w:r>
      <w:r w:rsidRPr="00C73649">
        <w:rPr>
          <w:rFonts w:ascii="Times New Roman" w:hAnsi="Times New Roman"/>
          <w:sz w:val="24"/>
          <w:szCs w:val="24"/>
        </w:rPr>
        <w:t>0 nm. There was no significant effect</w:t>
      </w:r>
      <w:r w:rsidR="00DC111F">
        <w:rPr>
          <w:rFonts w:ascii="Times New Roman" w:hAnsi="Times New Roman"/>
          <w:sz w:val="24"/>
          <w:szCs w:val="24"/>
        </w:rPr>
        <w:t xml:space="preserve"> of the</w:t>
      </w:r>
      <w:r w:rsidR="00DC111F" w:rsidRPr="00DC111F">
        <w:rPr>
          <w:rFonts w:ascii="Times New Roman" w:hAnsi="Times New Roman"/>
          <w:sz w:val="24"/>
          <w:szCs w:val="24"/>
        </w:rPr>
        <w:t xml:space="preserve"> </w:t>
      </w:r>
      <w:r w:rsidR="00DC111F" w:rsidRPr="00C73649">
        <w:rPr>
          <w:rFonts w:ascii="Times New Roman" w:hAnsi="Times New Roman"/>
          <w:sz w:val="24"/>
          <w:szCs w:val="24"/>
        </w:rPr>
        <w:t>presence of drug</w:t>
      </w:r>
      <w:r w:rsidR="00DC111F">
        <w:rPr>
          <w:rFonts w:ascii="Times New Roman" w:hAnsi="Times New Roman"/>
          <w:sz w:val="24"/>
          <w:szCs w:val="24"/>
        </w:rPr>
        <w:t xml:space="preserve"> on particle size</w:t>
      </w:r>
      <w:r w:rsidRPr="00C73649">
        <w:rPr>
          <w:rFonts w:ascii="Times New Roman" w:hAnsi="Times New Roman"/>
          <w:sz w:val="24"/>
          <w:szCs w:val="24"/>
        </w:rPr>
        <w:t xml:space="preserve">. </w:t>
      </w:r>
      <w:r w:rsidR="009E3D39" w:rsidRPr="007962C6">
        <w:rPr>
          <w:rFonts w:ascii="Times New Roman" w:hAnsi="Times New Roman"/>
          <w:sz w:val="24"/>
          <w:szCs w:val="24"/>
        </w:rPr>
        <w:t>Although only dispersion test data at pH 2 (0.01N HCl) are reported in the present paper, separate tests at pH 6.8 showed that there was no effect of pH on dispersion of probucol and the particle size of lipid globules. This is possibly because the drug as well as the lipids and the surfactant used are neutral and their physical and chemical properties are not pH-dependent.</w:t>
      </w: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sz w:val="24"/>
          <w:szCs w:val="24"/>
        </w:rPr>
        <w:t>Microemulsion was</w:t>
      </w:r>
      <w:r w:rsidR="00DC111F">
        <w:rPr>
          <w:rFonts w:ascii="Times New Roman" w:hAnsi="Times New Roman"/>
          <w:sz w:val="24"/>
          <w:szCs w:val="24"/>
        </w:rPr>
        <w:t xml:space="preserve"> not formed by all formulations; however,</w:t>
      </w:r>
      <w:r w:rsidRPr="00C73649">
        <w:rPr>
          <w:rFonts w:ascii="Times New Roman" w:hAnsi="Times New Roman"/>
          <w:sz w:val="24"/>
          <w:szCs w:val="24"/>
        </w:rPr>
        <w:t xml:space="preserve"> the particles were in submicron range (&lt;650nm). The particle size analysis of the solid system was conducted where the solidi</w:t>
      </w:r>
      <w:r w:rsidR="00DC111F">
        <w:rPr>
          <w:rFonts w:ascii="Times New Roman" w:hAnsi="Times New Roman"/>
          <w:sz w:val="24"/>
          <w:szCs w:val="24"/>
        </w:rPr>
        <w:t>fying agent was kept constant at</w:t>
      </w:r>
      <w:r w:rsidRPr="00C73649">
        <w:rPr>
          <w:rFonts w:ascii="Times New Roman" w:hAnsi="Times New Roman"/>
          <w:sz w:val="24"/>
          <w:szCs w:val="24"/>
        </w:rPr>
        <w:t xml:space="preserve"> 30% and the </w:t>
      </w:r>
      <w:r w:rsidR="00DC111F">
        <w:rPr>
          <w:rFonts w:ascii="Times New Roman" w:hAnsi="Times New Roman"/>
          <w:sz w:val="24"/>
          <w:szCs w:val="24"/>
        </w:rPr>
        <w:t xml:space="preserve">remaining </w:t>
      </w:r>
      <w:r w:rsidRPr="00C73649">
        <w:rPr>
          <w:rFonts w:ascii="Times New Roman" w:hAnsi="Times New Roman"/>
          <w:sz w:val="24"/>
          <w:szCs w:val="24"/>
        </w:rPr>
        <w:t xml:space="preserve">70% liquid </w:t>
      </w:r>
      <w:r w:rsidR="00DC111F">
        <w:rPr>
          <w:rFonts w:ascii="Times New Roman" w:hAnsi="Times New Roman"/>
          <w:sz w:val="24"/>
          <w:szCs w:val="24"/>
        </w:rPr>
        <w:t>component</w:t>
      </w:r>
      <w:r w:rsidRPr="00C73649">
        <w:rPr>
          <w:rFonts w:ascii="Times New Roman" w:hAnsi="Times New Roman"/>
          <w:sz w:val="24"/>
          <w:szCs w:val="24"/>
        </w:rPr>
        <w:t xml:space="preserve"> had varying amount</w:t>
      </w:r>
      <w:r w:rsidR="00DC111F">
        <w:rPr>
          <w:rFonts w:ascii="Times New Roman" w:hAnsi="Times New Roman"/>
          <w:sz w:val="24"/>
          <w:szCs w:val="24"/>
        </w:rPr>
        <w:t>s</w:t>
      </w:r>
      <w:r w:rsidRPr="00C73649">
        <w:rPr>
          <w:rFonts w:ascii="Times New Roman" w:hAnsi="Times New Roman"/>
          <w:sz w:val="24"/>
          <w:szCs w:val="24"/>
        </w:rPr>
        <w:t xml:space="preserve"> of C</w:t>
      </w:r>
      <w:r w:rsidR="00DC111F">
        <w:rPr>
          <w:rFonts w:ascii="Times New Roman" w:hAnsi="Times New Roman"/>
          <w:sz w:val="24"/>
          <w:szCs w:val="24"/>
        </w:rPr>
        <w:t>aptex 355 and Cremophor EL. These results</w:t>
      </w:r>
      <w:r w:rsidRPr="00C73649">
        <w:rPr>
          <w:rFonts w:ascii="Times New Roman" w:hAnsi="Times New Roman"/>
          <w:sz w:val="24"/>
          <w:szCs w:val="24"/>
        </w:rPr>
        <w:t xml:space="preserve"> indicated that the particle size of oil </w:t>
      </w:r>
      <w:r w:rsidRPr="00C73649">
        <w:rPr>
          <w:rFonts w:ascii="Times New Roman" w:hAnsi="Times New Roman"/>
          <w:sz w:val="24"/>
          <w:szCs w:val="24"/>
        </w:rPr>
        <w:lastRenderedPageBreak/>
        <w:t>globules decreased to microemulsion range with an increase in Cremophor EL co</w:t>
      </w:r>
      <w:r w:rsidR="00DC111F">
        <w:rPr>
          <w:rFonts w:ascii="Times New Roman" w:hAnsi="Times New Roman"/>
          <w:sz w:val="24"/>
          <w:szCs w:val="24"/>
        </w:rPr>
        <w:t>ncentration in the formulation.</w:t>
      </w:r>
    </w:p>
    <w:p w:rsidR="0063233D" w:rsidRDefault="0063233D" w:rsidP="00354FB6">
      <w:pPr>
        <w:autoSpaceDE w:val="0"/>
        <w:autoSpaceDN w:val="0"/>
        <w:adjustRightInd w:val="0"/>
        <w:spacing w:after="0" w:line="480" w:lineRule="auto"/>
        <w:jc w:val="both"/>
        <w:rPr>
          <w:rFonts w:ascii="Times New Roman" w:hAnsi="Times New Roman"/>
          <w:sz w:val="24"/>
          <w:szCs w:val="24"/>
        </w:rPr>
      </w:pPr>
    </w:p>
    <w:p w:rsidR="0063233D" w:rsidRPr="00C73649" w:rsidRDefault="00320DBF" w:rsidP="00354FB6">
      <w:pPr>
        <w:autoSpaceDE w:val="0"/>
        <w:autoSpaceDN w:val="0"/>
        <w:adjustRightInd w:val="0"/>
        <w:spacing w:after="0" w:line="480" w:lineRule="auto"/>
        <w:jc w:val="both"/>
        <w:rPr>
          <w:rFonts w:ascii="Times New Roman" w:hAnsi="Times New Roman"/>
          <w:sz w:val="24"/>
          <w:szCs w:val="24"/>
        </w:rPr>
      </w:pPr>
      <w:r w:rsidRPr="00562FB2">
        <w:rPr>
          <w:rFonts w:ascii="Times New Roman" w:hAnsi="Times New Roman"/>
          <w:sz w:val="24"/>
          <w:szCs w:val="24"/>
          <w:highlight w:val="yellow"/>
        </w:rPr>
        <w:t>Several aliquots during dispersion testing were examined microscopically for the formation of any birefringent drug crystals; however, no such crystals were observed. The centrifugation of aliquots (up to 8000 RMP) also did not exhibit any separation of solid phase. Further, as shown in Figs. 8 and 9, there was no significant change in particle size with time during the dispersion test. These findings led to the conclusion that that there was no precipitation of drug from solid formulations upon dispersion in aque</w:t>
      </w:r>
      <w:r w:rsidR="00562FB2" w:rsidRPr="00562FB2">
        <w:rPr>
          <w:rFonts w:ascii="Times New Roman" w:hAnsi="Times New Roman"/>
          <w:sz w:val="24"/>
          <w:szCs w:val="24"/>
          <w:highlight w:val="yellow"/>
        </w:rPr>
        <w:t>ous media</w:t>
      </w:r>
      <w:r w:rsidR="007962C6">
        <w:rPr>
          <w:rFonts w:ascii="Times New Roman" w:hAnsi="Times New Roman"/>
          <w:sz w:val="24"/>
          <w:szCs w:val="24"/>
          <w:highlight w:val="yellow"/>
        </w:rPr>
        <w:t>, and, if there were</w:t>
      </w:r>
      <w:r w:rsidRPr="00562FB2">
        <w:rPr>
          <w:rFonts w:ascii="Times New Roman" w:hAnsi="Times New Roman"/>
          <w:sz w:val="24"/>
          <w:szCs w:val="24"/>
          <w:highlight w:val="yellow"/>
        </w:rPr>
        <w:t xml:space="preserve"> any, the drug was amorphous and had the same particle size as that of the emulsion globules.</w:t>
      </w:r>
    </w:p>
    <w:p w:rsidR="00354FB6" w:rsidRDefault="00354FB6" w:rsidP="00354FB6">
      <w:pPr>
        <w:spacing w:line="480" w:lineRule="auto"/>
        <w:jc w:val="both"/>
        <w:rPr>
          <w:rFonts w:ascii="Times New Roman" w:hAnsi="Times New Roman"/>
          <w:sz w:val="24"/>
          <w:szCs w:val="24"/>
        </w:rPr>
      </w:pPr>
      <w:r w:rsidRPr="00C73649">
        <w:rPr>
          <w:rFonts w:ascii="Times New Roman" w:hAnsi="Times New Roman"/>
          <w:sz w:val="24"/>
          <w:szCs w:val="24"/>
        </w:rPr>
        <w:t xml:space="preserve"> </w:t>
      </w:r>
    </w:p>
    <w:p w:rsidR="00354FB6" w:rsidRPr="00B47181" w:rsidRDefault="005D52CD" w:rsidP="00354FB6">
      <w:pPr>
        <w:spacing w:line="480" w:lineRule="auto"/>
        <w:jc w:val="both"/>
        <w:rPr>
          <w:rFonts w:ascii="Times New Roman" w:hAnsi="Times New Roman"/>
          <w:sz w:val="24"/>
          <w:szCs w:val="24"/>
        </w:rPr>
      </w:pPr>
      <w:r w:rsidRPr="00C73649">
        <w:rPr>
          <w:rFonts w:ascii="Times New Roman" w:hAnsi="Times New Roman"/>
          <w:b/>
          <w:sz w:val="24"/>
          <w:szCs w:val="24"/>
        </w:rPr>
        <w:t>CONCLUSION</w:t>
      </w:r>
    </w:p>
    <w:p w:rsidR="00354FB6" w:rsidRDefault="00DC111F" w:rsidP="00354FB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results of the present</w:t>
      </w:r>
      <w:r w:rsidR="00354FB6" w:rsidRPr="00C73649">
        <w:rPr>
          <w:rFonts w:ascii="Times New Roman" w:hAnsi="Times New Roman"/>
          <w:sz w:val="24"/>
          <w:szCs w:val="24"/>
        </w:rPr>
        <w:t xml:space="preserve"> study </w:t>
      </w:r>
      <w:r>
        <w:rPr>
          <w:rFonts w:ascii="Times New Roman" w:hAnsi="Times New Roman"/>
          <w:sz w:val="24"/>
          <w:szCs w:val="24"/>
        </w:rPr>
        <w:t>provides a novel</w:t>
      </w:r>
      <w:r w:rsidR="00354FB6" w:rsidRPr="00C73649">
        <w:rPr>
          <w:rFonts w:ascii="Times New Roman" w:hAnsi="Times New Roman"/>
          <w:sz w:val="24"/>
          <w:szCs w:val="24"/>
        </w:rPr>
        <w:t xml:space="preserve"> approach in developing solid self-emulsifying lipid-based drug delivery system</w:t>
      </w:r>
      <w:r>
        <w:rPr>
          <w:rFonts w:ascii="Times New Roman" w:hAnsi="Times New Roman"/>
          <w:sz w:val="24"/>
          <w:szCs w:val="24"/>
        </w:rPr>
        <w:t>,</w:t>
      </w:r>
      <w:r w:rsidR="00354FB6" w:rsidRPr="00C73649">
        <w:rPr>
          <w:rFonts w:ascii="Times New Roman" w:hAnsi="Times New Roman"/>
          <w:sz w:val="24"/>
          <w:szCs w:val="24"/>
        </w:rPr>
        <w:t xml:space="preserve"> where liquid medium-chain triglyceride may be incorporated in the solid microstructure of lauroyl polyoxyl</w:t>
      </w:r>
      <w:r w:rsidR="00DF5615">
        <w:rPr>
          <w:rFonts w:ascii="Times New Roman" w:hAnsi="Times New Roman"/>
          <w:sz w:val="24"/>
          <w:szCs w:val="24"/>
        </w:rPr>
        <w:t xml:space="preserve"> </w:t>
      </w:r>
      <w:r w:rsidR="00354FB6" w:rsidRPr="00C73649">
        <w:rPr>
          <w:rFonts w:ascii="Times New Roman" w:hAnsi="Times New Roman"/>
          <w:sz w:val="24"/>
          <w:szCs w:val="24"/>
        </w:rPr>
        <w:t xml:space="preserve">glyceride (Acconon C-44 and Gelucire 44/14). Although Acconon C44 and Gelucire 44/14 are surface active in nature, a co-surfactant was needed to </w:t>
      </w:r>
      <w:r>
        <w:rPr>
          <w:rFonts w:ascii="Times New Roman" w:hAnsi="Times New Roman"/>
          <w:sz w:val="24"/>
          <w:szCs w:val="24"/>
        </w:rPr>
        <w:t>enhance</w:t>
      </w:r>
      <w:r w:rsidR="00354FB6" w:rsidRPr="00C73649">
        <w:rPr>
          <w:rFonts w:ascii="Times New Roman" w:hAnsi="Times New Roman"/>
          <w:sz w:val="24"/>
          <w:szCs w:val="24"/>
        </w:rPr>
        <w:t xml:space="preserve"> dispersion and drug release from the system. Moreover, the solid may be filled in hard gelatin capsules with the advantage of drug being in the solubilized state in the lipid. As the model drug probucol remained in the solubilized state in lipids, no phase separatio</w:t>
      </w:r>
      <w:r>
        <w:rPr>
          <w:rFonts w:ascii="Times New Roman" w:hAnsi="Times New Roman"/>
          <w:sz w:val="24"/>
          <w:szCs w:val="24"/>
        </w:rPr>
        <w:t>n or crystallization of drug were</w:t>
      </w:r>
      <w:r w:rsidR="00354FB6" w:rsidRPr="00C73649">
        <w:rPr>
          <w:rFonts w:ascii="Times New Roman" w:hAnsi="Times New Roman"/>
          <w:sz w:val="24"/>
          <w:szCs w:val="24"/>
        </w:rPr>
        <w:t xml:space="preserve"> observed. The formulations dispersed in aqueous media producing fine particles of lipids in the r</w:t>
      </w:r>
      <w:r w:rsidR="00354FB6">
        <w:rPr>
          <w:rFonts w:ascii="Times New Roman" w:hAnsi="Times New Roman"/>
          <w:sz w:val="24"/>
          <w:szCs w:val="24"/>
        </w:rPr>
        <w:t>ange of 200 to 45</w:t>
      </w:r>
      <w:r w:rsidR="00354FB6" w:rsidRPr="00C73649">
        <w:rPr>
          <w:rFonts w:ascii="Times New Roman" w:hAnsi="Times New Roman"/>
          <w:sz w:val="24"/>
          <w:szCs w:val="24"/>
        </w:rPr>
        <w:t>0 nm with the drug remaining dissolved in the lipid globules.</w:t>
      </w:r>
    </w:p>
    <w:p w:rsidR="00DB37CA" w:rsidRDefault="00DB37CA" w:rsidP="00354FB6">
      <w:pPr>
        <w:autoSpaceDE w:val="0"/>
        <w:autoSpaceDN w:val="0"/>
        <w:adjustRightInd w:val="0"/>
        <w:spacing w:after="0" w:line="480" w:lineRule="auto"/>
        <w:jc w:val="both"/>
        <w:rPr>
          <w:rFonts w:ascii="Times New Roman" w:hAnsi="Times New Roman"/>
          <w:sz w:val="24"/>
          <w:szCs w:val="24"/>
        </w:rPr>
      </w:pPr>
    </w:p>
    <w:p w:rsidR="00DB37CA" w:rsidRPr="001258FE" w:rsidRDefault="00DB37CA" w:rsidP="00DB37CA">
      <w:pPr>
        <w:pStyle w:val="ListParagraph"/>
        <w:spacing w:line="480" w:lineRule="auto"/>
        <w:ind w:left="0"/>
        <w:outlineLvl w:val="0"/>
        <w:rPr>
          <w:rFonts w:ascii="Times New Roman" w:hAnsi="Times New Roman"/>
          <w:b/>
          <w:sz w:val="24"/>
          <w:szCs w:val="24"/>
        </w:rPr>
      </w:pPr>
      <w:r w:rsidRPr="001258FE">
        <w:rPr>
          <w:rFonts w:ascii="Times New Roman" w:hAnsi="Times New Roman"/>
          <w:b/>
          <w:sz w:val="24"/>
          <w:szCs w:val="24"/>
        </w:rPr>
        <w:lastRenderedPageBreak/>
        <w:t>ACKNOWLEDGEMENT</w:t>
      </w:r>
      <w:r>
        <w:rPr>
          <w:rFonts w:ascii="Times New Roman" w:hAnsi="Times New Roman"/>
          <w:b/>
          <w:sz w:val="24"/>
          <w:szCs w:val="24"/>
        </w:rPr>
        <w:t>S</w:t>
      </w:r>
      <w:r w:rsidR="00BA5111">
        <w:rPr>
          <w:rFonts w:ascii="Times New Roman" w:hAnsi="Times New Roman"/>
          <w:b/>
          <w:sz w:val="24"/>
          <w:szCs w:val="24"/>
        </w:rPr>
        <w:t xml:space="preserve"> AND DISCLOSURE</w:t>
      </w:r>
    </w:p>
    <w:p w:rsidR="00DB37CA" w:rsidRPr="001258FE" w:rsidRDefault="00DB37CA" w:rsidP="00DB37CA">
      <w:pPr>
        <w:spacing w:line="480" w:lineRule="auto"/>
        <w:rPr>
          <w:rFonts w:ascii="Times New Roman" w:hAnsi="Times New Roman"/>
          <w:sz w:val="24"/>
          <w:szCs w:val="24"/>
        </w:rPr>
      </w:pPr>
      <w:r w:rsidRPr="001258FE">
        <w:rPr>
          <w:rFonts w:ascii="Times New Roman" w:hAnsi="Times New Roman"/>
          <w:sz w:val="24"/>
          <w:szCs w:val="24"/>
        </w:rPr>
        <w:t>This study was supported, in part, with a generous research grant from ABITEC Corporation, 501 W 1</w:t>
      </w:r>
      <w:r w:rsidRPr="001258FE">
        <w:rPr>
          <w:rFonts w:ascii="Times New Roman" w:hAnsi="Times New Roman"/>
          <w:sz w:val="24"/>
          <w:szCs w:val="24"/>
          <w:vertAlign w:val="superscript"/>
        </w:rPr>
        <w:t>st</w:t>
      </w:r>
      <w:r w:rsidRPr="001258FE">
        <w:rPr>
          <w:rFonts w:ascii="Times New Roman" w:hAnsi="Times New Roman"/>
          <w:sz w:val="24"/>
          <w:szCs w:val="24"/>
        </w:rPr>
        <w:t xml:space="preserve"> Avenue, Columbus, OH 43215</w:t>
      </w:r>
      <w:r w:rsidR="00F3041B">
        <w:rPr>
          <w:rFonts w:ascii="Times New Roman" w:hAnsi="Times New Roman"/>
          <w:sz w:val="24"/>
          <w:szCs w:val="24"/>
        </w:rPr>
        <w:t xml:space="preserve"> to St. John’s University</w:t>
      </w:r>
      <w:r w:rsidRPr="001258FE">
        <w:rPr>
          <w:rFonts w:ascii="Times New Roman" w:hAnsi="Times New Roman"/>
          <w:sz w:val="24"/>
          <w:szCs w:val="24"/>
        </w:rPr>
        <w:t xml:space="preserve">.  </w:t>
      </w:r>
      <w:r w:rsidRPr="00DB37CA">
        <w:rPr>
          <w:rFonts w:ascii="Times New Roman" w:hAnsi="Times New Roman"/>
          <w:sz w:val="24"/>
          <w:szCs w:val="24"/>
        </w:rPr>
        <w:t xml:space="preserve">The authors </w:t>
      </w:r>
      <w:r>
        <w:rPr>
          <w:rFonts w:ascii="Times New Roman" w:hAnsi="Times New Roman"/>
          <w:sz w:val="24"/>
          <w:szCs w:val="24"/>
        </w:rPr>
        <w:t>thank</w:t>
      </w:r>
      <w:r w:rsidRPr="00DB37CA">
        <w:rPr>
          <w:rFonts w:ascii="Times New Roman" w:hAnsi="Times New Roman"/>
          <w:sz w:val="24"/>
          <w:szCs w:val="24"/>
        </w:rPr>
        <w:t xml:space="preserve"> Gattefosse Corp., Paramus, New Jersey, USA, for the donation of </w:t>
      </w:r>
      <w:r>
        <w:rPr>
          <w:rFonts w:ascii="Times New Roman" w:hAnsi="Times New Roman"/>
          <w:sz w:val="24"/>
          <w:szCs w:val="24"/>
        </w:rPr>
        <w:t>Gelucire</w:t>
      </w:r>
      <w:r w:rsidRPr="00DB37CA">
        <w:rPr>
          <w:rFonts w:ascii="Times New Roman" w:hAnsi="Times New Roman"/>
          <w:sz w:val="24"/>
          <w:szCs w:val="24"/>
          <w:vertAlign w:val="superscript"/>
        </w:rPr>
        <w:t>®</w:t>
      </w:r>
      <w:r>
        <w:rPr>
          <w:rFonts w:ascii="Times New Roman" w:hAnsi="Times New Roman"/>
          <w:sz w:val="24"/>
          <w:szCs w:val="24"/>
        </w:rPr>
        <w:t xml:space="preserve"> 44/14 </w:t>
      </w:r>
      <w:r w:rsidRPr="00DB37CA">
        <w:rPr>
          <w:rFonts w:ascii="Times New Roman" w:hAnsi="Times New Roman"/>
          <w:sz w:val="24"/>
          <w:szCs w:val="24"/>
        </w:rPr>
        <w:t xml:space="preserve">and BASF Corp., Tarrytown, New York, USA, for </w:t>
      </w:r>
      <w:r>
        <w:rPr>
          <w:rFonts w:ascii="Times New Roman" w:hAnsi="Times New Roman"/>
          <w:sz w:val="24"/>
          <w:szCs w:val="24"/>
        </w:rPr>
        <w:t>the donation of</w:t>
      </w:r>
      <w:r w:rsidRPr="00DB37CA">
        <w:rPr>
          <w:rFonts w:ascii="Times New Roman" w:hAnsi="Times New Roman"/>
          <w:sz w:val="24"/>
          <w:szCs w:val="24"/>
        </w:rPr>
        <w:t xml:space="preserve"> Cremophor</w:t>
      </w:r>
      <w:r w:rsidRPr="00DB37CA">
        <w:rPr>
          <w:rFonts w:ascii="Times New Roman" w:hAnsi="Times New Roman"/>
          <w:sz w:val="24"/>
          <w:szCs w:val="24"/>
          <w:vertAlign w:val="superscript"/>
        </w:rPr>
        <w:t>®</w:t>
      </w:r>
      <w:r w:rsidRPr="00DB37CA">
        <w:rPr>
          <w:rFonts w:ascii="Times New Roman" w:hAnsi="Times New Roman"/>
          <w:sz w:val="24"/>
          <w:szCs w:val="24"/>
        </w:rPr>
        <w:t xml:space="preserve"> EL.</w:t>
      </w:r>
      <w:r w:rsidR="00F3041B">
        <w:rPr>
          <w:rFonts w:ascii="Times New Roman" w:hAnsi="Times New Roman"/>
          <w:sz w:val="24"/>
          <w:szCs w:val="24"/>
        </w:rPr>
        <w:t xml:space="preserve"> </w:t>
      </w:r>
      <w:r w:rsidR="00F3041B" w:rsidRPr="00F3041B">
        <w:rPr>
          <w:rFonts w:ascii="Times New Roman" w:hAnsi="Times New Roman"/>
          <w:sz w:val="24"/>
          <w:szCs w:val="24"/>
        </w:rPr>
        <w:t xml:space="preserve">They also thank Mr. Louis E. Bryan </w:t>
      </w:r>
      <w:r w:rsidR="00F3041B">
        <w:rPr>
          <w:rFonts w:ascii="Times New Roman" w:hAnsi="Times New Roman"/>
          <w:sz w:val="24"/>
          <w:szCs w:val="24"/>
        </w:rPr>
        <w:t>of the D</w:t>
      </w:r>
      <w:r w:rsidR="00F3041B" w:rsidRPr="00F3041B">
        <w:rPr>
          <w:rFonts w:ascii="Times New Roman" w:hAnsi="Times New Roman"/>
          <w:sz w:val="24"/>
          <w:szCs w:val="24"/>
        </w:rPr>
        <w:t xml:space="preserve">epartment of Biological </w:t>
      </w:r>
      <w:r w:rsidR="00F3041B">
        <w:rPr>
          <w:rFonts w:ascii="Times New Roman" w:hAnsi="Times New Roman"/>
          <w:sz w:val="24"/>
          <w:szCs w:val="24"/>
        </w:rPr>
        <w:t>Sciences, St. John’s University</w:t>
      </w:r>
      <w:r w:rsidR="00F3041B" w:rsidRPr="00F3041B">
        <w:rPr>
          <w:rFonts w:ascii="Times New Roman" w:hAnsi="Times New Roman"/>
          <w:sz w:val="24"/>
          <w:szCs w:val="24"/>
        </w:rPr>
        <w:t xml:space="preserve"> for his assistance in confocal fluorescence microscopic analysis of samples.</w:t>
      </w:r>
    </w:p>
    <w:p w:rsidR="00DB37CA" w:rsidRDefault="00DB37CA" w:rsidP="005D52CD">
      <w:pPr>
        <w:autoSpaceDE w:val="0"/>
        <w:autoSpaceDN w:val="0"/>
        <w:adjustRightInd w:val="0"/>
        <w:spacing w:after="0" w:line="480" w:lineRule="auto"/>
        <w:jc w:val="both"/>
        <w:rPr>
          <w:rFonts w:ascii="Times New Roman" w:hAnsi="Times New Roman"/>
          <w:b/>
          <w:sz w:val="24"/>
          <w:szCs w:val="24"/>
        </w:rPr>
      </w:pPr>
    </w:p>
    <w:p w:rsidR="005D52CD" w:rsidRPr="005D52CD" w:rsidRDefault="005D52CD" w:rsidP="005D52CD">
      <w:pPr>
        <w:autoSpaceDE w:val="0"/>
        <w:autoSpaceDN w:val="0"/>
        <w:adjustRightInd w:val="0"/>
        <w:spacing w:after="0" w:line="480" w:lineRule="auto"/>
        <w:jc w:val="both"/>
        <w:rPr>
          <w:rFonts w:ascii="Times New Roman" w:hAnsi="Times New Roman"/>
          <w:b/>
          <w:sz w:val="24"/>
          <w:szCs w:val="24"/>
        </w:rPr>
      </w:pPr>
      <w:r w:rsidRPr="005D52CD">
        <w:rPr>
          <w:rFonts w:ascii="Times New Roman" w:hAnsi="Times New Roman"/>
          <w:b/>
          <w:sz w:val="24"/>
          <w:szCs w:val="24"/>
        </w:rPr>
        <w:t>REFERENCES</w:t>
      </w:r>
      <w:r w:rsidR="00926B3A" w:rsidRPr="005D52CD">
        <w:rPr>
          <w:rFonts w:ascii="Times New Roman" w:hAnsi="Times New Roman"/>
          <w:sz w:val="24"/>
          <w:szCs w:val="24"/>
        </w:rPr>
        <w:fldChar w:fldCharType="begin"/>
      </w:r>
      <w:r w:rsidRPr="005D52CD">
        <w:rPr>
          <w:rFonts w:ascii="Times New Roman" w:hAnsi="Times New Roman"/>
          <w:sz w:val="24"/>
          <w:szCs w:val="24"/>
        </w:rPr>
        <w:instrText>ADDIN RW.BIB</w:instrText>
      </w:r>
      <w:r w:rsidR="00926B3A" w:rsidRPr="005D52CD">
        <w:rPr>
          <w:rFonts w:ascii="Times New Roman" w:hAnsi="Times New Roman"/>
          <w:sz w:val="24"/>
          <w:szCs w:val="24"/>
        </w:rPr>
        <w:fldChar w:fldCharType="separate"/>
      </w:r>
      <w:r w:rsidRPr="005D52CD">
        <w:rPr>
          <w:rFonts w:ascii="Times New Roman" w:hAnsi="Times New Roman"/>
          <w:sz w:val="24"/>
          <w:szCs w:val="24"/>
        </w:rPr>
        <w:t xml:space="preserve"> </w:t>
      </w:r>
    </w:p>
    <w:p w:rsidR="005D52CD" w:rsidRPr="005D52CD" w:rsidRDefault="005D52CD" w:rsidP="005D52CD">
      <w:pPr>
        <w:pStyle w:val="NormalWeb"/>
        <w:spacing w:line="480" w:lineRule="auto"/>
      </w:pPr>
      <w:r w:rsidRPr="005D52CD">
        <w:t>1. Lipinski C</w:t>
      </w:r>
      <w:r w:rsidR="00AF347E">
        <w:t>.</w:t>
      </w:r>
      <w:r w:rsidRPr="005D52CD">
        <w:t>A</w:t>
      </w:r>
      <w:r w:rsidR="00AF347E">
        <w:t>.</w:t>
      </w:r>
      <w:r w:rsidRPr="005D52CD">
        <w:t>, Lombardo F</w:t>
      </w:r>
      <w:r w:rsidR="00AF347E">
        <w:t>.</w:t>
      </w:r>
      <w:r w:rsidRPr="005D52CD">
        <w:t>, Dominy B</w:t>
      </w:r>
      <w:r w:rsidR="00AF347E">
        <w:t>.</w:t>
      </w:r>
      <w:r w:rsidRPr="005D52CD">
        <w:t>W</w:t>
      </w:r>
      <w:r w:rsidR="00AF347E">
        <w:t>.</w:t>
      </w:r>
      <w:r w:rsidRPr="005D52CD">
        <w:t>, Feeney P</w:t>
      </w:r>
      <w:r w:rsidR="00AF347E">
        <w:t>.</w:t>
      </w:r>
      <w:r w:rsidRPr="005D52CD">
        <w:t>J</w:t>
      </w:r>
      <w:r w:rsidR="00AF347E">
        <w:t xml:space="preserve">., </w:t>
      </w:r>
      <w:r w:rsidRPr="005D52CD">
        <w:t>Experimental and computational approaches to estimate solubility and permeability in drug disc</w:t>
      </w:r>
      <w:r w:rsidR="00AF347E">
        <w:t xml:space="preserve">overy and development settings, </w:t>
      </w:r>
      <w:r w:rsidRPr="005D52CD">
        <w:t>Adv</w:t>
      </w:r>
      <w:r w:rsidR="00AF347E">
        <w:t>.</w:t>
      </w:r>
      <w:r w:rsidRPr="005D52CD">
        <w:t xml:space="preserve"> Drug</w:t>
      </w:r>
      <w:r w:rsidR="00AF347E">
        <w:t xml:space="preserve">. </w:t>
      </w:r>
      <w:r w:rsidRPr="005D52CD">
        <w:t>Del</w:t>
      </w:r>
      <w:r w:rsidR="00AF347E">
        <w:t xml:space="preserve">. </w:t>
      </w:r>
      <w:r w:rsidRPr="005D52CD">
        <w:t>Rev</w:t>
      </w:r>
      <w:r w:rsidR="00AF347E">
        <w:t xml:space="preserve">., </w:t>
      </w:r>
      <w:r w:rsidRPr="005D52CD">
        <w:t>23:3-25</w:t>
      </w:r>
      <w:r w:rsidR="00AF347E">
        <w:t>, 1997</w:t>
      </w:r>
    </w:p>
    <w:p w:rsidR="005D52CD" w:rsidRPr="005D52CD" w:rsidRDefault="005D52CD" w:rsidP="005D52CD">
      <w:pPr>
        <w:pStyle w:val="NormalWeb"/>
        <w:spacing w:line="480" w:lineRule="auto"/>
      </w:pPr>
      <w:r w:rsidRPr="005D52CD">
        <w:t>2. Lipinski C</w:t>
      </w:r>
      <w:r w:rsidR="00AF347E">
        <w:t>.</w:t>
      </w:r>
      <w:r w:rsidRPr="005D52CD">
        <w:t>A</w:t>
      </w:r>
      <w:r w:rsidR="00AF347E">
        <w:t xml:space="preserve">., </w:t>
      </w:r>
      <w:r w:rsidRPr="005D52CD">
        <w:t>Drug-like properties and the causes of poor solubility and poor permeability</w:t>
      </w:r>
      <w:r w:rsidR="00AF347E">
        <w:t xml:space="preserve">, </w:t>
      </w:r>
      <w:r w:rsidRPr="005D52CD">
        <w:t>J</w:t>
      </w:r>
      <w:r w:rsidR="00AF347E">
        <w:t xml:space="preserve">. </w:t>
      </w:r>
      <w:r w:rsidRPr="005D52CD">
        <w:t>Pharmacol</w:t>
      </w:r>
      <w:r w:rsidR="00AF347E">
        <w:t xml:space="preserve">. </w:t>
      </w:r>
      <w:r w:rsidRPr="005D52CD">
        <w:t>Toxicol</w:t>
      </w:r>
      <w:r w:rsidR="00AF347E">
        <w:t xml:space="preserve">. </w:t>
      </w:r>
      <w:r w:rsidRPr="005D52CD">
        <w:t>Methods</w:t>
      </w:r>
      <w:r w:rsidR="00AF347E">
        <w:t xml:space="preserve">, </w:t>
      </w:r>
      <w:r w:rsidRPr="005D52CD">
        <w:t>44:235-249</w:t>
      </w:r>
      <w:r w:rsidR="00AF347E">
        <w:t>, 2000</w:t>
      </w:r>
      <w:r w:rsidRPr="005D52CD">
        <w:t xml:space="preserve"> </w:t>
      </w:r>
    </w:p>
    <w:p w:rsidR="005D52CD" w:rsidRPr="005D52CD" w:rsidRDefault="005D52CD" w:rsidP="005D52CD">
      <w:pPr>
        <w:pStyle w:val="NormalWeb"/>
        <w:spacing w:line="480" w:lineRule="auto"/>
      </w:pPr>
      <w:r w:rsidRPr="005D52CD">
        <w:t>3. Charman S</w:t>
      </w:r>
      <w:r w:rsidR="00AF347E">
        <w:t>.</w:t>
      </w:r>
      <w:r w:rsidRPr="005D52CD">
        <w:t>A</w:t>
      </w:r>
      <w:r w:rsidR="00AF347E">
        <w:t>.</w:t>
      </w:r>
      <w:r w:rsidRPr="005D52CD">
        <w:t>, Charman W</w:t>
      </w:r>
      <w:r w:rsidR="00AF347E">
        <w:t>.</w:t>
      </w:r>
      <w:r w:rsidRPr="005D52CD">
        <w:t>N</w:t>
      </w:r>
      <w:r w:rsidR="00AF347E">
        <w:t>.</w:t>
      </w:r>
      <w:r w:rsidRPr="005D52CD">
        <w:t>, Rogge M</w:t>
      </w:r>
      <w:r w:rsidR="00AF347E">
        <w:t>.</w:t>
      </w:r>
      <w:r w:rsidRPr="005D52CD">
        <w:t>C</w:t>
      </w:r>
      <w:r w:rsidR="00AF347E">
        <w:t>.</w:t>
      </w:r>
      <w:r w:rsidRPr="005D52CD">
        <w:t>, Wilson T</w:t>
      </w:r>
      <w:r w:rsidR="00AF347E">
        <w:t>.</w:t>
      </w:r>
      <w:r w:rsidRPr="005D52CD">
        <w:t>D</w:t>
      </w:r>
      <w:r w:rsidR="00AF347E">
        <w:t>.</w:t>
      </w:r>
      <w:r w:rsidRPr="005D52CD">
        <w:t>, Dutko F</w:t>
      </w:r>
      <w:r w:rsidR="00AF347E">
        <w:t>.</w:t>
      </w:r>
      <w:r w:rsidRPr="005D52CD">
        <w:t>J</w:t>
      </w:r>
      <w:r w:rsidR="00AF347E">
        <w:t>.</w:t>
      </w:r>
      <w:r w:rsidRPr="005D52CD">
        <w:t>, Pouton C</w:t>
      </w:r>
      <w:r w:rsidR="00AF347E">
        <w:t>.</w:t>
      </w:r>
      <w:r w:rsidRPr="005D52CD">
        <w:t>W</w:t>
      </w:r>
      <w:r w:rsidR="00AF347E">
        <w:t xml:space="preserve">., </w:t>
      </w:r>
      <w:r w:rsidRPr="005D52CD">
        <w:t>Self-emulsifying drug delivery systems: formulation and biopharmaceutic evaluation of an inves</w:t>
      </w:r>
      <w:r w:rsidR="00AF347E">
        <w:t xml:space="preserve">tigational lipophilic compound, </w:t>
      </w:r>
      <w:r w:rsidRPr="005D52CD">
        <w:t>Pharm</w:t>
      </w:r>
      <w:r w:rsidR="00AF347E">
        <w:t>.</w:t>
      </w:r>
      <w:r w:rsidRPr="005D52CD">
        <w:t xml:space="preserve"> Res</w:t>
      </w:r>
      <w:r w:rsidR="00AF347E">
        <w:t xml:space="preserve">., </w:t>
      </w:r>
      <w:r w:rsidRPr="005D52CD">
        <w:t>9:87-93</w:t>
      </w:r>
      <w:r w:rsidR="00AF347E">
        <w:t>, 1992</w:t>
      </w:r>
      <w:r w:rsidRPr="005D52CD">
        <w:t xml:space="preserve"> </w:t>
      </w:r>
    </w:p>
    <w:p w:rsidR="005D52CD" w:rsidRPr="005D52CD" w:rsidRDefault="005D52CD" w:rsidP="005D52CD">
      <w:pPr>
        <w:pStyle w:val="NormalWeb"/>
        <w:spacing w:line="480" w:lineRule="auto"/>
      </w:pPr>
      <w:r w:rsidRPr="005D52CD">
        <w:t>4. Shah N</w:t>
      </w:r>
      <w:r w:rsidR="00AF347E">
        <w:t>.H.</w:t>
      </w:r>
      <w:r w:rsidRPr="005D52CD">
        <w:t>, Carvajal M</w:t>
      </w:r>
      <w:r w:rsidR="00AF347E">
        <w:t>.T.</w:t>
      </w:r>
      <w:r w:rsidRPr="005D52CD">
        <w:t>, Patel C</w:t>
      </w:r>
      <w:r w:rsidR="00AF347E">
        <w:t>.I.</w:t>
      </w:r>
      <w:r w:rsidRPr="005D52CD">
        <w:t>, Infeld M</w:t>
      </w:r>
      <w:r w:rsidR="00AF347E">
        <w:t>.H.</w:t>
      </w:r>
      <w:r w:rsidRPr="005D52CD">
        <w:t>, Malick A</w:t>
      </w:r>
      <w:r w:rsidR="00AF347E">
        <w:t xml:space="preserve">.W., </w:t>
      </w:r>
      <w:r w:rsidRPr="005D52CD">
        <w:t>Self-emulsifying drug delivery systems (SEDDS) with polyglycolyzed glycerides for improving in vitro dissolution and oral absorption of lipophilic drugs</w:t>
      </w:r>
      <w:r w:rsidR="00AF347E">
        <w:t xml:space="preserve">, </w:t>
      </w:r>
      <w:r w:rsidRPr="005D52CD">
        <w:t>Int</w:t>
      </w:r>
      <w:r w:rsidR="00AF347E">
        <w:t>.</w:t>
      </w:r>
      <w:r w:rsidRPr="005D52CD">
        <w:t xml:space="preserve"> J</w:t>
      </w:r>
      <w:r w:rsidR="00AF347E">
        <w:t>.</w:t>
      </w:r>
      <w:r w:rsidRPr="005D52CD">
        <w:t xml:space="preserve"> Pharm</w:t>
      </w:r>
      <w:r w:rsidR="00AF347E">
        <w:t>.,</w:t>
      </w:r>
      <w:r w:rsidRPr="005D52CD">
        <w:t xml:space="preserve"> 106:15-23</w:t>
      </w:r>
      <w:r w:rsidR="00AF347E">
        <w:t>, 1994</w:t>
      </w:r>
      <w:r w:rsidRPr="005D52CD">
        <w:t xml:space="preserve"> </w:t>
      </w:r>
    </w:p>
    <w:p w:rsidR="005D52CD" w:rsidRPr="005D52CD" w:rsidRDefault="005D52CD" w:rsidP="005D52CD">
      <w:pPr>
        <w:pStyle w:val="NormalWeb"/>
        <w:spacing w:line="480" w:lineRule="auto"/>
      </w:pPr>
      <w:r w:rsidRPr="005D52CD">
        <w:lastRenderedPageBreak/>
        <w:t>5. Khoo S</w:t>
      </w:r>
      <w:r w:rsidR="00AF347E">
        <w:t>.</w:t>
      </w:r>
      <w:r w:rsidRPr="005D52CD">
        <w:t>M</w:t>
      </w:r>
      <w:r w:rsidR="00AF347E">
        <w:t>.</w:t>
      </w:r>
      <w:r w:rsidRPr="005D52CD">
        <w:t>, Porter C</w:t>
      </w:r>
      <w:r w:rsidR="00AF347E">
        <w:t>.</w:t>
      </w:r>
      <w:r w:rsidRPr="005D52CD">
        <w:t>J</w:t>
      </w:r>
      <w:r w:rsidR="00AF347E">
        <w:t>.H.,</w:t>
      </w:r>
      <w:r w:rsidRPr="005D52CD">
        <w:t xml:space="preserve"> Charman W</w:t>
      </w:r>
      <w:r w:rsidR="00AF347E">
        <w:t>.</w:t>
      </w:r>
      <w:r w:rsidRPr="005D52CD">
        <w:t>N</w:t>
      </w:r>
      <w:r w:rsidR="00AF347E">
        <w:t>.,</w:t>
      </w:r>
      <w:r w:rsidRPr="005D52CD">
        <w:t xml:space="preserve"> The formulation of Halofantrine as either non-solubilising PEG 6000 or solubilising lipid based solid dispersions: Physical stability and absol</w:t>
      </w:r>
      <w:r w:rsidR="00AF347E">
        <w:t xml:space="preserve">ute bioavailability assessment, </w:t>
      </w:r>
      <w:r w:rsidRPr="005D52CD">
        <w:t>Int</w:t>
      </w:r>
      <w:r w:rsidR="00AF347E">
        <w:t>.</w:t>
      </w:r>
      <w:r w:rsidRPr="005D52CD">
        <w:t xml:space="preserve"> J</w:t>
      </w:r>
      <w:r w:rsidR="00AF347E">
        <w:t>.</w:t>
      </w:r>
      <w:r w:rsidRPr="005D52CD">
        <w:t xml:space="preserve"> Pharm</w:t>
      </w:r>
      <w:r w:rsidR="00AF347E">
        <w:t>.,</w:t>
      </w:r>
      <w:r w:rsidRPr="005D52CD">
        <w:t xml:space="preserve"> 205:65-78</w:t>
      </w:r>
      <w:r w:rsidR="00AF347E">
        <w:t>, 2000</w:t>
      </w:r>
      <w:r w:rsidRPr="005D52CD">
        <w:t xml:space="preserve"> </w:t>
      </w:r>
    </w:p>
    <w:p w:rsidR="005D52CD" w:rsidRPr="005D52CD" w:rsidRDefault="005D52CD" w:rsidP="005D52CD">
      <w:pPr>
        <w:pStyle w:val="NormalWeb"/>
        <w:spacing w:line="480" w:lineRule="auto"/>
      </w:pPr>
      <w:r w:rsidRPr="005D52CD">
        <w:t>6. Caliph S</w:t>
      </w:r>
      <w:r w:rsidR="00AF347E">
        <w:t>.</w:t>
      </w:r>
      <w:r w:rsidRPr="005D52CD">
        <w:t>M</w:t>
      </w:r>
      <w:r w:rsidR="00AF347E">
        <w:t>.</w:t>
      </w:r>
      <w:r w:rsidRPr="005D52CD">
        <w:t>, Charman W</w:t>
      </w:r>
      <w:r w:rsidR="00AF347E">
        <w:t>.</w:t>
      </w:r>
      <w:r w:rsidRPr="005D52CD">
        <w:t>N</w:t>
      </w:r>
      <w:r w:rsidR="00AF347E">
        <w:t>.</w:t>
      </w:r>
      <w:r w:rsidRPr="005D52CD">
        <w:t>, Porter C</w:t>
      </w:r>
      <w:r w:rsidR="00AF347E">
        <w:t>.</w:t>
      </w:r>
      <w:r w:rsidRPr="005D52CD">
        <w:t>J</w:t>
      </w:r>
      <w:r w:rsidR="00AF347E">
        <w:t>.</w:t>
      </w:r>
      <w:r w:rsidRPr="005D52CD">
        <w:t>H</w:t>
      </w:r>
      <w:r w:rsidR="00AF347E">
        <w:t>.,</w:t>
      </w:r>
      <w:r w:rsidRPr="005D52CD">
        <w:t xml:space="preserve"> Effect of short</w:t>
      </w:r>
      <w:r w:rsidRPr="005D52CD">
        <w:rPr>
          <w:rFonts w:ascii="Calibri" w:hAnsi="Calibri"/>
        </w:rPr>
        <w:t>‐</w:t>
      </w:r>
      <w:r w:rsidRPr="005D52CD">
        <w:t>, medium</w:t>
      </w:r>
      <w:r w:rsidRPr="005D52CD">
        <w:rPr>
          <w:rFonts w:ascii="Calibri" w:hAnsi="Calibri"/>
        </w:rPr>
        <w:t>‐</w:t>
      </w:r>
      <w:r w:rsidRPr="005D52CD">
        <w:t>, and long</w:t>
      </w:r>
      <w:r w:rsidRPr="005D52CD">
        <w:rPr>
          <w:rFonts w:ascii="Calibri" w:hAnsi="Calibri"/>
        </w:rPr>
        <w:t>‐</w:t>
      </w:r>
      <w:r w:rsidRPr="005D52CD">
        <w:t>chain fatty acid</w:t>
      </w:r>
      <w:r w:rsidRPr="005D52CD">
        <w:rPr>
          <w:rFonts w:ascii="Calibri" w:hAnsi="Calibri"/>
        </w:rPr>
        <w:t>‐</w:t>
      </w:r>
      <w:r w:rsidRPr="005D52CD">
        <w:t>based vehicles on the absolute oral bioavailability and intestinal lymphatic transport of halofantrine and assessment of mass balance in lymph</w:t>
      </w:r>
      <w:r w:rsidRPr="005D52CD">
        <w:rPr>
          <w:rFonts w:ascii="Calibri" w:hAnsi="Calibri"/>
        </w:rPr>
        <w:t>‐</w:t>
      </w:r>
      <w:r w:rsidRPr="005D52CD">
        <w:t>cannulated and non</w:t>
      </w:r>
      <w:r w:rsidRPr="005D52CD">
        <w:rPr>
          <w:rFonts w:ascii="Calibri" w:hAnsi="Calibri"/>
        </w:rPr>
        <w:t>‐</w:t>
      </w:r>
      <w:r w:rsidR="00AF347E">
        <w:t xml:space="preserve">cannulated rats, </w:t>
      </w:r>
      <w:r w:rsidRPr="005D52CD">
        <w:t>J</w:t>
      </w:r>
      <w:r w:rsidR="00AF347E">
        <w:t xml:space="preserve">. </w:t>
      </w:r>
      <w:r w:rsidRPr="005D52CD">
        <w:t>Pharm</w:t>
      </w:r>
      <w:r w:rsidR="00AF347E">
        <w:t xml:space="preserve">. </w:t>
      </w:r>
      <w:r w:rsidRPr="005D52CD">
        <w:t>Sci</w:t>
      </w:r>
      <w:r w:rsidR="00AF347E">
        <w:t xml:space="preserve">., </w:t>
      </w:r>
      <w:r w:rsidRPr="005D52CD">
        <w:t>89:1073-1084</w:t>
      </w:r>
      <w:r w:rsidR="00AF347E">
        <w:t>, 2000</w:t>
      </w:r>
      <w:r w:rsidRPr="005D52CD">
        <w:t xml:space="preserve"> </w:t>
      </w:r>
    </w:p>
    <w:p w:rsidR="005D52CD" w:rsidRPr="005D52CD" w:rsidRDefault="005D52CD" w:rsidP="005D52CD">
      <w:pPr>
        <w:pStyle w:val="NormalWeb"/>
        <w:spacing w:line="480" w:lineRule="auto"/>
      </w:pPr>
      <w:r w:rsidRPr="005D52CD">
        <w:t>7. Odeberg J</w:t>
      </w:r>
      <w:r w:rsidR="00AF347E">
        <w:t>.</w:t>
      </w:r>
      <w:r w:rsidRPr="005D52CD">
        <w:t>M</w:t>
      </w:r>
      <w:r w:rsidR="00AF347E">
        <w:t>.</w:t>
      </w:r>
      <w:r w:rsidRPr="005D52CD">
        <w:t>, Kaufmann P</w:t>
      </w:r>
      <w:r w:rsidR="00AF347E">
        <w:t>.</w:t>
      </w:r>
      <w:r w:rsidRPr="005D52CD">
        <w:t>, Kroon K</w:t>
      </w:r>
      <w:r w:rsidR="00AF347E">
        <w:t>.</w:t>
      </w:r>
      <w:r w:rsidRPr="005D52CD">
        <w:t>G</w:t>
      </w:r>
      <w:r w:rsidR="00AF347E">
        <w:t>.</w:t>
      </w:r>
      <w:r w:rsidRPr="005D52CD">
        <w:t>, Höglund P</w:t>
      </w:r>
      <w:r w:rsidR="00AF347E">
        <w:t>.,</w:t>
      </w:r>
      <w:r w:rsidRPr="005D52CD">
        <w:t xml:space="preserve"> Lipid drug delivery and rational formulation design for lipophilic drugs with low oral bioavailability, applied to cyclosporine</w:t>
      </w:r>
      <w:r w:rsidR="00AF347E">
        <w:t>, Eur. J. P</w:t>
      </w:r>
      <w:r w:rsidRPr="005D52CD">
        <w:t>harm</w:t>
      </w:r>
      <w:r w:rsidR="00AF347E">
        <w:t>. S</w:t>
      </w:r>
      <w:r w:rsidRPr="005D52CD">
        <w:t>ci</w:t>
      </w:r>
      <w:r w:rsidR="00AF347E">
        <w:t>.,</w:t>
      </w:r>
      <w:r w:rsidRPr="005D52CD">
        <w:t xml:space="preserve"> 20:375-382</w:t>
      </w:r>
      <w:r w:rsidR="00AF347E">
        <w:t>, 2003</w:t>
      </w:r>
      <w:r w:rsidRPr="005D52CD">
        <w:t xml:space="preserve"> </w:t>
      </w:r>
    </w:p>
    <w:p w:rsidR="005D52CD" w:rsidRPr="005D52CD" w:rsidRDefault="005D52CD" w:rsidP="005D52CD">
      <w:pPr>
        <w:pStyle w:val="NormalWeb"/>
        <w:spacing w:line="480" w:lineRule="auto"/>
      </w:pPr>
      <w:r w:rsidRPr="005D52CD">
        <w:t>8. Porter C</w:t>
      </w:r>
      <w:r w:rsidR="00AF347E">
        <w:t>.J.H.</w:t>
      </w:r>
      <w:r w:rsidRPr="005D52CD">
        <w:t>, Trevaskis N</w:t>
      </w:r>
      <w:r w:rsidR="00AF347E">
        <w:t>.</w:t>
      </w:r>
      <w:r w:rsidRPr="005D52CD">
        <w:t>L</w:t>
      </w:r>
      <w:r w:rsidR="00AF347E">
        <w:t>.</w:t>
      </w:r>
      <w:r w:rsidRPr="005D52CD">
        <w:t>, Charman W</w:t>
      </w:r>
      <w:r w:rsidR="00AF347E">
        <w:t>.</w:t>
      </w:r>
      <w:r w:rsidRPr="005D52CD">
        <w:t>N</w:t>
      </w:r>
      <w:r w:rsidR="00AF347E">
        <w:t xml:space="preserve">., </w:t>
      </w:r>
      <w:r w:rsidRPr="005D52CD">
        <w:t>Lipids and lipid-based formulations: optimizing the ora</w:t>
      </w:r>
      <w:r w:rsidR="00AF347E">
        <w:t xml:space="preserve">l delivery of lipophilic drugs, </w:t>
      </w:r>
      <w:r w:rsidRPr="005D52CD">
        <w:t xml:space="preserve">Nature </w:t>
      </w:r>
      <w:r w:rsidR="00AF347E">
        <w:t>R</w:t>
      </w:r>
      <w:r w:rsidRPr="005D52CD">
        <w:t>ev</w:t>
      </w:r>
      <w:r w:rsidR="00AF347E">
        <w:t xml:space="preserve">., </w:t>
      </w:r>
      <w:r w:rsidRPr="005D52CD">
        <w:t>6:231</w:t>
      </w:r>
      <w:r w:rsidR="00AF347E">
        <w:t>-248, 2007</w:t>
      </w:r>
      <w:r w:rsidRPr="005D52CD">
        <w:t xml:space="preserve"> </w:t>
      </w:r>
    </w:p>
    <w:p w:rsidR="005D52CD" w:rsidRPr="005D52CD" w:rsidRDefault="005D52CD" w:rsidP="005D52CD">
      <w:pPr>
        <w:pStyle w:val="NormalWeb"/>
        <w:spacing w:line="480" w:lineRule="auto"/>
      </w:pPr>
      <w:r w:rsidRPr="005D52CD">
        <w:t>9. O'Driscoll C</w:t>
      </w:r>
      <w:r w:rsidR="00AF347E">
        <w:t>.M.</w:t>
      </w:r>
      <w:r w:rsidRPr="005D52CD">
        <w:t>, Griffin B</w:t>
      </w:r>
      <w:r w:rsidR="00AF347E">
        <w:t>.T.,</w:t>
      </w:r>
      <w:r w:rsidRPr="005D52CD">
        <w:t xml:space="preserve"> Biopharmaceutical challenges associated with dr</w:t>
      </w:r>
      <w:r w:rsidR="00AF347E">
        <w:t>ugs with low aqueous solubility - t</w:t>
      </w:r>
      <w:r w:rsidRPr="005D52CD">
        <w:t>he potential impact of lipid-based formulations</w:t>
      </w:r>
      <w:r w:rsidR="00AF347E">
        <w:t>,</w:t>
      </w:r>
      <w:r w:rsidRPr="005D52CD">
        <w:t xml:space="preserve"> Adv</w:t>
      </w:r>
      <w:r w:rsidR="00AF347E">
        <w:t>.</w:t>
      </w:r>
      <w:r w:rsidRPr="005D52CD">
        <w:t xml:space="preserve"> Drug</w:t>
      </w:r>
      <w:r w:rsidR="00AF347E">
        <w:t>.</w:t>
      </w:r>
      <w:r w:rsidRPr="005D52CD">
        <w:t xml:space="preserve"> Del</w:t>
      </w:r>
      <w:r w:rsidR="00AF347E">
        <w:t>.</w:t>
      </w:r>
      <w:r w:rsidRPr="005D52CD">
        <w:t xml:space="preserve"> Rev</w:t>
      </w:r>
      <w:r w:rsidR="00AF347E">
        <w:t>., 60:617-624, 2008</w:t>
      </w:r>
    </w:p>
    <w:p w:rsidR="005D52CD" w:rsidRPr="005D52CD" w:rsidRDefault="005D52CD" w:rsidP="005D52CD">
      <w:pPr>
        <w:pStyle w:val="NormalWeb"/>
        <w:spacing w:line="480" w:lineRule="auto"/>
      </w:pPr>
      <w:r w:rsidRPr="005D52CD">
        <w:t>10. Serajuddin A</w:t>
      </w:r>
      <w:r w:rsidR="00AF347E">
        <w:t>.T.M.</w:t>
      </w:r>
      <w:r w:rsidRPr="005D52CD">
        <w:t>, Li P</w:t>
      </w:r>
      <w:r w:rsidR="00AF347E">
        <w:t>.</w:t>
      </w:r>
      <w:r w:rsidRPr="005D52CD">
        <w:t>, Haefele T</w:t>
      </w:r>
      <w:r w:rsidR="00AF347E">
        <w:t>.F.,</w:t>
      </w:r>
      <w:r w:rsidRPr="005D52CD">
        <w:t xml:space="preserve"> Development of lipid-based drug delivery systems for poorly water-soluble dru</w:t>
      </w:r>
      <w:r w:rsidR="00AF347E">
        <w:t xml:space="preserve">gs as viable oral dosage forms, American Pharmaceutical Review, </w:t>
      </w:r>
      <w:r w:rsidRPr="005D52CD">
        <w:t>11:34-42</w:t>
      </w:r>
      <w:r w:rsidR="00AF347E">
        <w:t>, 2008</w:t>
      </w:r>
      <w:r w:rsidRPr="005D52CD">
        <w:t xml:space="preserve"> </w:t>
      </w:r>
    </w:p>
    <w:p w:rsidR="005D52CD" w:rsidRPr="005D52CD" w:rsidRDefault="005D52CD" w:rsidP="005D52CD">
      <w:pPr>
        <w:pStyle w:val="NormalWeb"/>
        <w:spacing w:line="480" w:lineRule="auto"/>
      </w:pPr>
      <w:r w:rsidRPr="005D52CD">
        <w:t>11. Prajapati H</w:t>
      </w:r>
      <w:r w:rsidR="00AF347E">
        <w:t>.</w:t>
      </w:r>
      <w:r w:rsidRPr="005D52CD">
        <w:t>N</w:t>
      </w:r>
      <w:r w:rsidR="00AF347E">
        <w:t>.</w:t>
      </w:r>
      <w:r w:rsidRPr="005D52CD">
        <w:t>, Dalrymple D</w:t>
      </w:r>
      <w:r w:rsidR="00AF347E">
        <w:t>.</w:t>
      </w:r>
      <w:r w:rsidRPr="005D52CD">
        <w:t>M</w:t>
      </w:r>
      <w:r w:rsidR="00AF347E">
        <w:t>.</w:t>
      </w:r>
      <w:r w:rsidRPr="005D52CD">
        <w:t>, Serajuddin A</w:t>
      </w:r>
      <w:r w:rsidR="00AF347E">
        <w:t>.</w:t>
      </w:r>
      <w:r w:rsidRPr="005D52CD">
        <w:t>T</w:t>
      </w:r>
      <w:r w:rsidR="00AF347E">
        <w:t>.</w:t>
      </w:r>
      <w:r w:rsidRPr="005D52CD">
        <w:t>M</w:t>
      </w:r>
      <w:r w:rsidR="00AF347E">
        <w:t xml:space="preserve">., </w:t>
      </w:r>
      <w:r w:rsidR="00BA5111">
        <w:t xml:space="preserve">A Comparative evaluation of mono-, di-and triglyceride of medium chain fatty acids by </w:t>
      </w:r>
      <w:r w:rsidR="00BA5111" w:rsidRPr="00ED62A8">
        <w:t>l</w:t>
      </w:r>
      <w:r w:rsidR="00222689" w:rsidRPr="00ED62A8">
        <w:t xml:space="preserve">ipid/surfactant/water phase diagram, </w:t>
      </w:r>
      <w:r w:rsidR="00222689" w:rsidRPr="00ED62A8">
        <w:lastRenderedPageBreak/>
        <w:t>solubility determination and dispersion testing for</w:t>
      </w:r>
      <w:r w:rsidR="00222689">
        <w:t xml:space="preserve"> </w:t>
      </w:r>
      <w:r w:rsidR="00BA5111">
        <w:t>application in p</w:t>
      </w:r>
      <w:r w:rsidRPr="005D52CD">
        <w:t>harmace</w:t>
      </w:r>
      <w:r w:rsidR="00AF347E">
        <w:t>utical</w:t>
      </w:r>
      <w:r w:rsidR="00BA5111">
        <w:t xml:space="preserve"> dosage form d</w:t>
      </w:r>
      <w:r w:rsidR="00AF347E">
        <w:t xml:space="preserve">evelopment, </w:t>
      </w:r>
      <w:r w:rsidRPr="005D52CD">
        <w:t>Pharm</w:t>
      </w:r>
      <w:r w:rsidR="00AF347E">
        <w:t xml:space="preserve">. </w:t>
      </w:r>
      <w:r w:rsidRPr="005D52CD">
        <w:t xml:space="preserve"> Res</w:t>
      </w:r>
      <w:r w:rsidR="00AF347E">
        <w:t>.,</w:t>
      </w:r>
      <w:r w:rsidR="00AF347E" w:rsidRPr="00AF347E">
        <w:t xml:space="preserve"> 29:285–305</w:t>
      </w:r>
      <w:r w:rsidR="00AF347E">
        <w:t>, 2012</w:t>
      </w:r>
      <w:r w:rsidRPr="005D52CD">
        <w:t xml:space="preserve"> </w:t>
      </w:r>
    </w:p>
    <w:p w:rsidR="005D52CD" w:rsidRPr="005D52CD" w:rsidRDefault="005D52CD" w:rsidP="005D52CD">
      <w:pPr>
        <w:pStyle w:val="NormalWeb"/>
        <w:spacing w:line="480" w:lineRule="auto"/>
      </w:pPr>
      <w:r w:rsidRPr="005D52CD">
        <w:t>12. Prajapati H</w:t>
      </w:r>
      <w:r w:rsidR="00AF347E">
        <w:t>.</w:t>
      </w:r>
      <w:r w:rsidRPr="005D52CD">
        <w:t>N</w:t>
      </w:r>
      <w:r w:rsidR="00AF347E">
        <w:t>.</w:t>
      </w:r>
      <w:r w:rsidRPr="005D52CD">
        <w:t>, Patel D</w:t>
      </w:r>
      <w:r w:rsidR="00AF347E">
        <w:t>.</w:t>
      </w:r>
      <w:r w:rsidRPr="005D52CD">
        <w:t>P</w:t>
      </w:r>
      <w:r w:rsidR="00AF347E">
        <w:t>.</w:t>
      </w:r>
      <w:r w:rsidRPr="005D52CD">
        <w:t>, Patel N</w:t>
      </w:r>
      <w:r w:rsidR="00AF347E">
        <w:t>.</w:t>
      </w:r>
      <w:r w:rsidRPr="005D52CD">
        <w:t>G</w:t>
      </w:r>
      <w:r w:rsidR="00AF347E">
        <w:t>.</w:t>
      </w:r>
      <w:r w:rsidRPr="005D52CD">
        <w:t>, Dalrymple D</w:t>
      </w:r>
      <w:r w:rsidR="00AF347E">
        <w:t>.M.</w:t>
      </w:r>
      <w:r w:rsidRPr="005D52CD">
        <w:t>, Serajuddin A</w:t>
      </w:r>
      <w:r w:rsidR="00AF347E">
        <w:t xml:space="preserve">.T.M., </w:t>
      </w:r>
      <w:r w:rsidR="00BA5111">
        <w:t>Effect of Difference in fatty acid chain lengths of medium-chain lipids on lipid-surfactant-aater phase diagrams and d</w:t>
      </w:r>
      <w:r w:rsidRPr="005D52CD">
        <w:t>r</w:t>
      </w:r>
      <w:r w:rsidR="00BA5111">
        <w:t>ug s</w:t>
      </w:r>
      <w:r w:rsidRPr="005D52CD">
        <w:t>olubility</w:t>
      </w:r>
      <w:r w:rsidR="00AF347E">
        <w:t xml:space="preserve">, </w:t>
      </w:r>
      <w:r w:rsidRPr="005D52CD">
        <w:t>J</w:t>
      </w:r>
      <w:r w:rsidR="00AF347E">
        <w:t>.</w:t>
      </w:r>
      <w:r w:rsidRPr="005D52CD">
        <w:t>Excipients Food Chem</w:t>
      </w:r>
      <w:r w:rsidR="00AF347E">
        <w:t xml:space="preserve">., </w:t>
      </w:r>
      <w:r w:rsidRPr="005D52CD">
        <w:t>2</w:t>
      </w:r>
      <w:r w:rsidR="00AF347E">
        <w:t>(3):73-87,  2011</w:t>
      </w:r>
      <w:r w:rsidRPr="005D52CD">
        <w:t xml:space="preserve"> </w:t>
      </w:r>
    </w:p>
    <w:p w:rsidR="005D52CD" w:rsidRPr="005D52CD" w:rsidRDefault="005D52CD" w:rsidP="005D52CD">
      <w:pPr>
        <w:pStyle w:val="NormalWeb"/>
        <w:spacing w:line="480" w:lineRule="auto"/>
      </w:pPr>
      <w:r w:rsidRPr="005D52CD">
        <w:t>13. Hauss D</w:t>
      </w:r>
      <w:r w:rsidR="00AF347E">
        <w:t>.</w:t>
      </w:r>
      <w:r w:rsidRPr="005D52CD">
        <w:t>J</w:t>
      </w:r>
      <w:r w:rsidR="00AF347E">
        <w:t xml:space="preserve">., </w:t>
      </w:r>
      <w:r w:rsidRPr="005D52CD">
        <w:t>Oral lipid-based drug delivery—a case of implementation failing to keep up with innovation. Am</w:t>
      </w:r>
      <w:r w:rsidR="00AF347E">
        <w:t xml:space="preserve">erican </w:t>
      </w:r>
      <w:r w:rsidRPr="005D52CD">
        <w:t>Pharm</w:t>
      </w:r>
      <w:r w:rsidR="00AF347E">
        <w:t xml:space="preserve">aceutical </w:t>
      </w:r>
      <w:r w:rsidRPr="005D52CD">
        <w:t>Rev</w:t>
      </w:r>
      <w:r w:rsidR="00AF347E">
        <w:t>iew,</w:t>
      </w:r>
      <w:r w:rsidRPr="005D52CD">
        <w:t xml:space="preserve"> 5:22-36</w:t>
      </w:r>
      <w:r w:rsidR="00AF347E">
        <w:t>, 2002</w:t>
      </w:r>
      <w:r w:rsidRPr="005D52CD">
        <w:t xml:space="preserve"> </w:t>
      </w:r>
    </w:p>
    <w:p w:rsidR="005D52CD" w:rsidRPr="005D52CD" w:rsidRDefault="005D52CD" w:rsidP="005D52CD">
      <w:pPr>
        <w:pStyle w:val="NormalWeb"/>
        <w:spacing w:line="480" w:lineRule="auto"/>
      </w:pPr>
      <w:r w:rsidRPr="005D52CD">
        <w:t>14. Strickly R</w:t>
      </w:r>
      <w:r w:rsidR="00AF347E">
        <w:t>.</w:t>
      </w:r>
      <w:r w:rsidRPr="005D52CD">
        <w:t>G</w:t>
      </w:r>
      <w:r w:rsidR="00AF347E">
        <w:t xml:space="preserve">., </w:t>
      </w:r>
      <w:r w:rsidRPr="005D52CD">
        <w:t>Currently marketed oral lipid-based</w:t>
      </w:r>
      <w:r w:rsidR="00BA5111">
        <w:t xml:space="preserve"> </w:t>
      </w:r>
      <w:r w:rsidR="00BA5111" w:rsidRPr="00325793">
        <w:t>dosage form</w:t>
      </w:r>
      <w:r w:rsidR="00BA5111">
        <w:t>s: Drug products and excipients, in Hauss D (</w:t>
      </w:r>
      <w:r w:rsidR="00BA5111" w:rsidRPr="005D52CD">
        <w:t>ed</w:t>
      </w:r>
      <w:r w:rsidR="00BA5111">
        <w:t>.),</w:t>
      </w:r>
      <w:r w:rsidR="00BA5111" w:rsidRPr="005D52CD">
        <w:t xml:space="preserve"> Lipid-based </w:t>
      </w:r>
      <w:r w:rsidR="00BA5111">
        <w:t>f</w:t>
      </w:r>
      <w:r w:rsidR="00BA5111" w:rsidRPr="005D52CD">
        <w:t xml:space="preserve">ormulations for </w:t>
      </w:r>
      <w:r w:rsidR="00BA5111">
        <w:t>o</w:t>
      </w:r>
      <w:r w:rsidR="00BA5111" w:rsidRPr="005D52CD">
        <w:t xml:space="preserve">ral </w:t>
      </w:r>
      <w:r w:rsidR="00BA5111">
        <w:t>d</w:t>
      </w:r>
      <w:r w:rsidR="00BA5111" w:rsidRPr="005D52CD">
        <w:t xml:space="preserve">rug </w:t>
      </w:r>
      <w:r w:rsidR="00BA5111">
        <w:t>d</w:t>
      </w:r>
      <w:r w:rsidR="00BA5111" w:rsidRPr="005D52CD">
        <w:t xml:space="preserve">elivery: Enhancing </w:t>
      </w:r>
      <w:r w:rsidR="00BA5111">
        <w:t>bioavailability of p</w:t>
      </w:r>
      <w:r w:rsidR="00BA5111" w:rsidRPr="005D52CD">
        <w:t xml:space="preserve">oorly </w:t>
      </w:r>
      <w:r w:rsidR="00BA5111">
        <w:t>water-s</w:t>
      </w:r>
      <w:r w:rsidR="00BA5111" w:rsidRPr="005D52CD">
        <w:t xml:space="preserve">oluble </w:t>
      </w:r>
      <w:r w:rsidR="00BA5111">
        <w:t>d</w:t>
      </w:r>
      <w:r w:rsidR="00BA5111" w:rsidRPr="005D52CD">
        <w:t>rug</w:t>
      </w:r>
      <w:r w:rsidR="00BA5111">
        <w:t>;</w:t>
      </w:r>
      <w:r w:rsidRPr="005D52CD">
        <w:t xml:space="preserve"> </w:t>
      </w:r>
      <w:r w:rsidR="00BA5111" w:rsidRPr="005D52CD">
        <w:t>Informa Healthcare</w:t>
      </w:r>
      <w:r w:rsidR="00BA5111">
        <w:t xml:space="preserve">, </w:t>
      </w:r>
      <w:r w:rsidRPr="005D52CD">
        <w:t>New York</w:t>
      </w:r>
      <w:r w:rsidR="00AF347E">
        <w:t>, NY, pp. 1-31, 2007</w:t>
      </w:r>
      <w:r w:rsidRPr="005D52CD">
        <w:t xml:space="preserve"> </w:t>
      </w:r>
    </w:p>
    <w:p w:rsidR="005D52CD" w:rsidRPr="005D52CD" w:rsidRDefault="00AF347E" w:rsidP="005D52CD">
      <w:pPr>
        <w:pStyle w:val="NormalWeb"/>
        <w:spacing w:line="480" w:lineRule="auto"/>
      </w:pPr>
      <w:r>
        <w:t>15. Mu</w:t>
      </w:r>
      <w:r w:rsidR="005D52CD" w:rsidRPr="005D52CD">
        <w:t>llertz A</w:t>
      </w:r>
      <w:r>
        <w:t>.</w:t>
      </w:r>
      <w:r w:rsidR="005D52CD" w:rsidRPr="005D52CD">
        <w:t>, Ogbonna A</w:t>
      </w:r>
      <w:r>
        <w:t>.</w:t>
      </w:r>
      <w:r w:rsidR="005D52CD" w:rsidRPr="005D52CD">
        <w:t>, Ren S</w:t>
      </w:r>
      <w:r>
        <w:t>.</w:t>
      </w:r>
      <w:r w:rsidR="005D52CD" w:rsidRPr="005D52CD">
        <w:t>, Rades T</w:t>
      </w:r>
      <w:r>
        <w:t xml:space="preserve">., </w:t>
      </w:r>
      <w:r w:rsidR="005D52CD" w:rsidRPr="005D52CD">
        <w:t>New perspectives on lipid and surfactant based drug delivery systems for oral delivery of poorly soluble drugs</w:t>
      </w:r>
      <w:r>
        <w:t xml:space="preserve">, </w:t>
      </w:r>
      <w:r w:rsidR="005D52CD" w:rsidRPr="005D52CD">
        <w:t>J</w:t>
      </w:r>
      <w:r>
        <w:t>.</w:t>
      </w:r>
      <w:r w:rsidR="005D52CD" w:rsidRPr="005D52CD">
        <w:t xml:space="preserve"> Pharm</w:t>
      </w:r>
      <w:r>
        <w:t>.</w:t>
      </w:r>
      <w:r w:rsidR="005D52CD" w:rsidRPr="005D52CD">
        <w:t xml:space="preserve"> Pharmacol</w:t>
      </w:r>
      <w:r>
        <w:t>.,</w:t>
      </w:r>
      <w:r w:rsidR="005D52CD" w:rsidRPr="005D52CD">
        <w:t xml:space="preserve"> 62:1622-16</w:t>
      </w:r>
      <w:r>
        <w:t>36, 2010</w:t>
      </w:r>
    </w:p>
    <w:p w:rsidR="005D52CD" w:rsidRPr="005D52CD" w:rsidRDefault="005D52CD" w:rsidP="005D52CD">
      <w:pPr>
        <w:pStyle w:val="NormalWeb"/>
        <w:spacing w:line="480" w:lineRule="auto"/>
      </w:pPr>
      <w:r w:rsidRPr="005D52CD">
        <w:t>16. Vasanthavada M</w:t>
      </w:r>
      <w:r w:rsidR="00AF347E">
        <w:t>.</w:t>
      </w:r>
      <w:r w:rsidRPr="005D52CD">
        <w:t>, Serajuddin A</w:t>
      </w:r>
      <w:r w:rsidR="00AF347E">
        <w:t xml:space="preserve">.T.M., </w:t>
      </w:r>
      <w:r w:rsidRPr="005D52CD">
        <w:t>Lipid-based self-emulsifying solid dispersions</w:t>
      </w:r>
      <w:r w:rsidR="00AF347E">
        <w:t>,</w:t>
      </w:r>
      <w:r w:rsidRPr="005D52CD">
        <w:t xml:space="preserve"> </w:t>
      </w:r>
      <w:r w:rsidR="00AF347E">
        <w:t>i</w:t>
      </w:r>
      <w:r w:rsidRPr="005D52CD">
        <w:t>n</w:t>
      </w:r>
      <w:r w:rsidR="00AF347E">
        <w:t xml:space="preserve"> Hauss D (</w:t>
      </w:r>
      <w:r w:rsidRPr="005D52CD">
        <w:t>ed</w:t>
      </w:r>
      <w:r w:rsidR="00AF347E">
        <w:t>.),</w:t>
      </w:r>
      <w:r w:rsidRPr="005D52CD">
        <w:t xml:space="preserve"> Lipid-based </w:t>
      </w:r>
      <w:r w:rsidR="00BA5111">
        <w:t>f</w:t>
      </w:r>
      <w:r w:rsidRPr="005D52CD">
        <w:t xml:space="preserve">ormulations for </w:t>
      </w:r>
      <w:r w:rsidR="00BA5111">
        <w:t>o</w:t>
      </w:r>
      <w:r w:rsidRPr="005D52CD">
        <w:t xml:space="preserve">ral </w:t>
      </w:r>
      <w:r w:rsidR="00BA5111">
        <w:t>d</w:t>
      </w:r>
      <w:r w:rsidRPr="005D52CD">
        <w:t xml:space="preserve">rug </w:t>
      </w:r>
      <w:r w:rsidR="00BA5111">
        <w:t>d</w:t>
      </w:r>
      <w:r w:rsidRPr="005D52CD">
        <w:t xml:space="preserve">elivery: Enhancing </w:t>
      </w:r>
      <w:r w:rsidR="00BA5111">
        <w:t>bioavailability of p</w:t>
      </w:r>
      <w:r w:rsidRPr="005D52CD">
        <w:t xml:space="preserve">oorly </w:t>
      </w:r>
      <w:r w:rsidR="00BA5111">
        <w:t>w</w:t>
      </w:r>
      <w:r w:rsidR="00AF347E">
        <w:t>ater-</w:t>
      </w:r>
      <w:r w:rsidR="00BA5111">
        <w:t>s</w:t>
      </w:r>
      <w:r w:rsidRPr="005D52CD">
        <w:t xml:space="preserve">oluble </w:t>
      </w:r>
      <w:r w:rsidR="00BA5111">
        <w:t>d</w:t>
      </w:r>
      <w:r w:rsidRPr="005D52CD">
        <w:t>rug</w:t>
      </w:r>
      <w:r w:rsidR="00AF347E">
        <w:t xml:space="preserve">; </w:t>
      </w:r>
      <w:r w:rsidRPr="005D52CD">
        <w:t>Informa Healthcare</w:t>
      </w:r>
      <w:r w:rsidR="00AF347E">
        <w:t xml:space="preserve">, New York, NY, </w:t>
      </w:r>
      <w:r w:rsidRPr="005D52CD">
        <w:t>149-184</w:t>
      </w:r>
      <w:r w:rsidR="00AF347E">
        <w:t>, 2007</w:t>
      </w:r>
      <w:r w:rsidRPr="005D52CD">
        <w:t xml:space="preserve"> </w:t>
      </w:r>
    </w:p>
    <w:p w:rsidR="005D52CD" w:rsidRPr="005D52CD" w:rsidRDefault="005D52CD" w:rsidP="005D52CD">
      <w:pPr>
        <w:pStyle w:val="NormalWeb"/>
        <w:spacing w:line="480" w:lineRule="auto"/>
      </w:pPr>
      <w:r w:rsidRPr="005D52CD">
        <w:t>17. Jannin V</w:t>
      </w:r>
      <w:r w:rsidR="00AF347E">
        <w:t>.</w:t>
      </w:r>
      <w:r w:rsidRPr="005D52CD">
        <w:t>, Musakhanian J</w:t>
      </w:r>
      <w:r w:rsidR="00AF347E">
        <w:t>.</w:t>
      </w:r>
      <w:r w:rsidRPr="005D52CD">
        <w:t>, Marchaud D</w:t>
      </w:r>
      <w:r w:rsidR="00AF347E">
        <w:t xml:space="preserve">., </w:t>
      </w:r>
      <w:r w:rsidRPr="005D52CD">
        <w:t>Approaches for the development of solid and semi-solid lipid-based formulations</w:t>
      </w:r>
      <w:r w:rsidR="00AF347E">
        <w:t>, Adv. Drug. Del. Rev., 60:734-746, 2008</w:t>
      </w:r>
    </w:p>
    <w:p w:rsidR="005D52CD" w:rsidRPr="005D52CD" w:rsidRDefault="005D52CD" w:rsidP="005D52CD">
      <w:pPr>
        <w:pStyle w:val="NormalWeb"/>
        <w:spacing w:line="480" w:lineRule="auto"/>
      </w:pPr>
      <w:r w:rsidRPr="005D52CD">
        <w:lastRenderedPageBreak/>
        <w:t>18. Serajuddin A</w:t>
      </w:r>
      <w:r w:rsidR="00AF347E">
        <w:t>.</w:t>
      </w:r>
      <w:r w:rsidRPr="005D52CD">
        <w:t>, Sheen P</w:t>
      </w:r>
      <w:r w:rsidR="00AF347E">
        <w:t>.</w:t>
      </w:r>
      <w:r w:rsidRPr="005D52CD">
        <w:t>C</w:t>
      </w:r>
      <w:r w:rsidR="00AF347E">
        <w:t xml:space="preserve">., </w:t>
      </w:r>
      <w:r w:rsidRPr="005D52CD">
        <w:t>Mufson D</w:t>
      </w:r>
      <w:r w:rsidR="00AF347E">
        <w:t>.</w:t>
      </w:r>
      <w:r w:rsidRPr="005D52CD">
        <w:t>, Bernstein D</w:t>
      </w:r>
      <w:r w:rsidR="00AF347E">
        <w:t>.</w:t>
      </w:r>
      <w:r w:rsidRPr="005D52CD">
        <w:t>F</w:t>
      </w:r>
      <w:r w:rsidR="00AF347E">
        <w:t>.</w:t>
      </w:r>
      <w:r w:rsidRPr="005D52CD">
        <w:t>, Augustine M</w:t>
      </w:r>
      <w:r w:rsidR="00AF347E">
        <w:t>.</w:t>
      </w:r>
      <w:r w:rsidRPr="005D52CD">
        <w:t>A</w:t>
      </w:r>
      <w:r w:rsidR="00AF347E">
        <w:t>.,</w:t>
      </w:r>
      <w:r w:rsidRPr="005D52CD">
        <w:t xml:space="preserve"> Effect of vehicle amphiphilicity on the dissolution and bioavailability of a poorly water</w:t>
      </w:r>
      <w:r w:rsidRPr="005D52CD">
        <w:rPr>
          <w:rFonts w:ascii="Calibri" w:hAnsi="Calibri"/>
        </w:rPr>
        <w:t>‐</w:t>
      </w:r>
      <w:r w:rsidRPr="005D52CD">
        <w:t>solub</w:t>
      </w:r>
      <w:r w:rsidR="00AF347E">
        <w:t xml:space="preserve">le drug from solid dispersions, </w:t>
      </w:r>
      <w:r w:rsidRPr="005D52CD">
        <w:t>J</w:t>
      </w:r>
      <w:r w:rsidR="00AF347E">
        <w:t>.</w:t>
      </w:r>
      <w:r w:rsidRPr="005D52CD">
        <w:t xml:space="preserve"> Pharm</w:t>
      </w:r>
      <w:r w:rsidR="00AF347E">
        <w:t>.</w:t>
      </w:r>
      <w:r w:rsidRPr="005D52CD">
        <w:t xml:space="preserve"> Sci</w:t>
      </w:r>
      <w:r w:rsidR="00AF347E">
        <w:t>.,</w:t>
      </w:r>
      <w:r w:rsidRPr="005D52CD">
        <w:t xml:space="preserve"> 77:414-417</w:t>
      </w:r>
      <w:r w:rsidR="00AF347E">
        <w:t>, 1988</w:t>
      </w:r>
      <w:r w:rsidRPr="005D52CD">
        <w:t xml:space="preserve"> </w:t>
      </w:r>
    </w:p>
    <w:p w:rsidR="005D52CD" w:rsidRPr="005D52CD" w:rsidRDefault="005D52CD" w:rsidP="005D52CD">
      <w:pPr>
        <w:pStyle w:val="NormalWeb"/>
        <w:spacing w:line="480" w:lineRule="auto"/>
      </w:pPr>
      <w:r w:rsidRPr="005D52CD">
        <w:t>19. Aungst B</w:t>
      </w:r>
      <w:r w:rsidR="00AF347E">
        <w:t>.</w:t>
      </w:r>
      <w:r w:rsidRPr="005D52CD">
        <w:t>J</w:t>
      </w:r>
      <w:r w:rsidR="00AF347E">
        <w:t>.</w:t>
      </w:r>
      <w:r w:rsidRPr="005D52CD">
        <w:t>, Nguyen N</w:t>
      </w:r>
      <w:r w:rsidR="00AF347E">
        <w:t>.</w:t>
      </w:r>
      <w:r w:rsidRPr="005D52CD">
        <w:t>H</w:t>
      </w:r>
      <w:r w:rsidR="00AF347E">
        <w:t>.</w:t>
      </w:r>
      <w:r w:rsidRPr="005D52CD">
        <w:t>, Rogers N</w:t>
      </w:r>
      <w:r w:rsidR="00AF347E">
        <w:t>.</w:t>
      </w:r>
      <w:r w:rsidRPr="005D52CD">
        <w:t>J</w:t>
      </w:r>
      <w:r w:rsidR="00AF347E">
        <w:t>.</w:t>
      </w:r>
      <w:r w:rsidRPr="005D52CD">
        <w:t>, Rowe S</w:t>
      </w:r>
      <w:r w:rsidR="00AF347E">
        <w:t>.</w:t>
      </w:r>
      <w:r w:rsidRPr="005D52CD">
        <w:t>M</w:t>
      </w:r>
      <w:r w:rsidR="00AF347E">
        <w:t>.</w:t>
      </w:r>
      <w:r w:rsidRPr="005D52CD">
        <w:t>, Hussain M</w:t>
      </w:r>
      <w:r w:rsidR="00AF347E">
        <w:t>.</w:t>
      </w:r>
      <w:r w:rsidRPr="005D52CD">
        <w:t>A</w:t>
      </w:r>
      <w:r w:rsidR="00AF347E">
        <w:t>.</w:t>
      </w:r>
      <w:r w:rsidRPr="005D52CD">
        <w:t>, White S</w:t>
      </w:r>
      <w:r w:rsidR="00AF347E">
        <w:t>.</w:t>
      </w:r>
      <w:r w:rsidRPr="005D52CD">
        <w:t>J</w:t>
      </w:r>
      <w:r w:rsidR="00AF347E">
        <w:t>.</w:t>
      </w:r>
      <w:r w:rsidRPr="005D52CD">
        <w:t>, Shum</w:t>
      </w:r>
      <w:r w:rsidR="00AF347E">
        <w:t xml:space="preserve"> </w:t>
      </w:r>
      <w:r w:rsidRPr="005D52CD">
        <w:t>L</w:t>
      </w:r>
      <w:r w:rsidR="00AF347E">
        <w:t xml:space="preserve">., </w:t>
      </w:r>
      <w:r w:rsidRPr="005D52CD">
        <w:t>Amphiphilic vehicles improve the oral bioavailability of a poorly soluble HIV protease inhibitor at hig</w:t>
      </w:r>
      <w:r w:rsidR="00AF347E">
        <w:t>h doses, Int. J. Pharm. 156:79-88, 1997</w:t>
      </w:r>
      <w:r w:rsidRPr="005D52CD">
        <w:t xml:space="preserve"> </w:t>
      </w:r>
    </w:p>
    <w:p w:rsidR="005D52CD" w:rsidRPr="005D52CD" w:rsidRDefault="005D52CD" w:rsidP="005D52CD">
      <w:pPr>
        <w:pStyle w:val="NormalWeb"/>
        <w:spacing w:line="480" w:lineRule="auto"/>
      </w:pPr>
      <w:r w:rsidRPr="005D52CD">
        <w:t>20. Varma M</w:t>
      </w:r>
      <w:r w:rsidR="00AF347E">
        <w:t>.</w:t>
      </w:r>
      <w:r w:rsidRPr="005D52CD">
        <w:t>V</w:t>
      </w:r>
      <w:r w:rsidR="00AF347E">
        <w:t>.</w:t>
      </w:r>
      <w:r w:rsidRPr="005D52CD">
        <w:t>S</w:t>
      </w:r>
      <w:r w:rsidR="00AF347E">
        <w:t>.</w:t>
      </w:r>
      <w:r w:rsidRPr="005D52CD">
        <w:t>, Panchagnula R</w:t>
      </w:r>
      <w:r w:rsidR="00AF347E">
        <w:t xml:space="preserve">., </w:t>
      </w:r>
      <w:r w:rsidRPr="005D52CD">
        <w:t>Enhanced oral paclitaxel a</w:t>
      </w:r>
      <w:r w:rsidR="00AF347E">
        <w:t>bsorption with vitamin E-TPGS: E</w:t>
      </w:r>
      <w:r w:rsidRPr="005D52CD">
        <w:t xml:space="preserve">ffect </w:t>
      </w:r>
      <w:r w:rsidRPr="00ED62A8">
        <w:t>o</w:t>
      </w:r>
      <w:r w:rsidR="00222689" w:rsidRPr="00ED62A8">
        <w:t>f</w:t>
      </w:r>
      <w:r w:rsidRPr="005D52CD">
        <w:t xml:space="preserve"> solubility and permeability</w:t>
      </w:r>
      <w:r w:rsidR="00AF347E">
        <w:t xml:space="preserve"> in vitro, in situ and in vivo, </w:t>
      </w:r>
      <w:r w:rsidRPr="005D52CD">
        <w:t>Eur</w:t>
      </w:r>
      <w:r w:rsidR="00AF347E">
        <w:t>. J. P</w:t>
      </w:r>
      <w:r w:rsidRPr="005D52CD">
        <w:t>harm</w:t>
      </w:r>
      <w:r w:rsidR="00AF347E">
        <w:t>. S</w:t>
      </w:r>
      <w:r w:rsidRPr="005D52CD">
        <w:t>ci</w:t>
      </w:r>
      <w:r w:rsidR="00AF347E">
        <w:t>.</w:t>
      </w:r>
      <w:r w:rsidRPr="005D52CD">
        <w:t xml:space="preserve"> 25:445-453</w:t>
      </w:r>
      <w:r w:rsidR="00AF347E">
        <w:t>, 2005</w:t>
      </w:r>
      <w:r w:rsidRPr="005D52CD">
        <w:t xml:space="preserve"> </w:t>
      </w:r>
    </w:p>
    <w:p w:rsidR="005D52CD" w:rsidRPr="005D52CD" w:rsidRDefault="005D52CD" w:rsidP="005D52CD">
      <w:pPr>
        <w:pStyle w:val="NormalWeb"/>
        <w:spacing w:line="480" w:lineRule="auto"/>
      </w:pPr>
      <w:r w:rsidRPr="005D52CD">
        <w:t>21. Serajuddin A</w:t>
      </w:r>
      <w:r w:rsidR="00AF347E">
        <w:t>.T.M.,</w:t>
      </w:r>
      <w:r w:rsidRPr="005D52CD">
        <w:t xml:space="preserve"> Solid dispersion of poorly water</w:t>
      </w:r>
      <w:r w:rsidRPr="005D52CD">
        <w:rPr>
          <w:rFonts w:ascii="Calibri" w:hAnsi="Calibri"/>
        </w:rPr>
        <w:t>‐</w:t>
      </w:r>
      <w:r w:rsidRPr="005D52CD">
        <w:t>soluble drugs: early promises, subsequent problems, and recent breakthro</w:t>
      </w:r>
      <w:r w:rsidR="00AF347E">
        <w:t>ughs, J. Pharm. Sci. 88:1058-1066, 1999</w:t>
      </w:r>
    </w:p>
    <w:p w:rsidR="005D52CD" w:rsidRPr="005D52CD" w:rsidRDefault="005D52CD" w:rsidP="005D52CD">
      <w:pPr>
        <w:pStyle w:val="NormalWeb"/>
        <w:spacing w:line="480" w:lineRule="auto"/>
      </w:pPr>
      <w:r w:rsidRPr="005D52CD">
        <w:t>22. Vasanthavada M., Tong W.Q., Ser</w:t>
      </w:r>
      <w:r w:rsidR="00325850">
        <w:t>ajuddin A.T.M., Development of solid d</w:t>
      </w:r>
      <w:r w:rsidRPr="005D52CD">
        <w:t xml:space="preserve">ispersions </w:t>
      </w:r>
      <w:r w:rsidR="00325850">
        <w:t>for poorly water-s</w:t>
      </w:r>
      <w:r w:rsidR="00AF347E">
        <w:t>oluble Drug, i</w:t>
      </w:r>
      <w:r w:rsidRPr="005D52CD">
        <w:t xml:space="preserve">n </w:t>
      </w:r>
      <w:r w:rsidR="00AF347E">
        <w:t xml:space="preserve">R.Liu (ed.), </w:t>
      </w:r>
      <w:r w:rsidR="00325850">
        <w:t>Water-i</w:t>
      </w:r>
      <w:r w:rsidRPr="005D52CD">
        <w:t>nsolu</w:t>
      </w:r>
      <w:r w:rsidR="00325850">
        <w:t>ble drug f</w:t>
      </w:r>
      <w:r w:rsidRPr="005D52CD">
        <w:t>ormulations</w:t>
      </w:r>
      <w:r w:rsidR="00AF347E">
        <w:t>;</w:t>
      </w:r>
      <w:r w:rsidRPr="005D52CD">
        <w:t xml:space="preserve"> </w:t>
      </w:r>
      <w:r w:rsidR="00325850">
        <w:t>Informa Healthcare</w:t>
      </w:r>
      <w:r w:rsidR="00AF347E">
        <w:t xml:space="preserve">, New York, NY, </w:t>
      </w:r>
      <w:r w:rsidRPr="005D52CD">
        <w:t>149-184</w:t>
      </w:r>
      <w:r w:rsidR="00AF347E">
        <w:t>, 2008</w:t>
      </w:r>
      <w:r w:rsidRPr="005D52CD">
        <w:t xml:space="preserve"> </w:t>
      </w:r>
    </w:p>
    <w:p w:rsidR="005D52CD" w:rsidRPr="005D52CD" w:rsidRDefault="005D52CD" w:rsidP="005D52CD">
      <w:pPr>
        <w:pStyle w:val="NormalWeb"/>
        <w:spacing w:line="480" w:lineRule="auto"/>
      </w:pPr>
      <w:r w:rsidRPr="005D52CD">
        <w:t>23. Li P</w:t>
      </w:r>
      <w:r w:rsidR="00AF347E">
        <w:t>.</w:t>
      </w:r>
      <w:r w:rsidRPr="005D52CD">
        <w:t>, Hynes S</w:t>
      </w:r>
      <w:r w:rsidR="00AF347E">
        <w:t>.</w:t>
      </w:r>
      <w:r w:rsidRPr="005D52CD">
        <w:t>R</w:t>
      </w:r>
      <w:r w:rsidR="00AF347E">
        <w:t>.</w:t>
      </w:r>
      <w:r w:rsidRPr="005D52CD">
        <w:t>, Haefele T</w:t>
      </w:r>
      <w:r w:rsidR="00AF347E">
        <w:t>.</w:t>
      </w:r>
      <w:r w:rsidRPr="005D52CD">
        <w:t>F</w:t>
      </w:r>
      <w:r w:rsidR="00AF347E">
        <w:t>.</w:t>
      </w:r>
      <w:r w:rsidRPr="005D52CD">
        <w:t>, Pudipeddi M</w:t>
      </w:r>
      <w:r w:rsidR="00AF347E">
        <w:t>.</w:t>
      </w:r>
      <w:r w:rsidRPr="005D52CD">
        <w:t>, Royce A</w:t>
      </w:r>
      <w:r w:rsidR="00AF347E">
        <w:t>.</w:t>
      </w:r>
      <w:r w:rsidRPr="005D52CD">
        <w:t>E</w:t>
      </w:r>
      <w:r w:rsidR="00AF347E">
        <w:t>.</w:t>
      </w:r>
      <w:r w:rsidRPr="005D52CD">
        <w:t>, Serajuddin A</w:t>
      </w:r>
      <w:r w:rsidR="00AF347E">
        <w:t xml:space="preserve">.T.M., </w:t>
      </w:r>
      <w:r w:rsidRPr="005D52CD">
        <w:t>Development of clinical dosage forms for a poorly water</w:t>
      </w:r>
      <w:r w:rsidRPr="005D52CD">
        <w:rPr>
          <w:rFonts w:ascii="Calibri" w:hAnsi="Calibri"/>
        </w:rPr>
        <w:t>‐</w:t>
      </w:r>
      <w:r w:rsidRPr="005D52CD">
        <w:t>soluble drug II: Formulation and characterization of a novel solid microemulsion preconcentrate system for oral delivery of a poorly water</w:t>
      </w:r>
      <w:r w:rsidRPr="005D52CD">
        <w:rPr>
          <w:rFonts w:ascii="Calibri" w:hAnsi="Calibri"/>
        </w:rPr>
        <w:t>‐</w:t>
      </w:r>
      <w:r w:rsidRPr="005D52CD">
        <w:t xml:space="preserve">soluble </w:t>
      </w:r>
      <w:r w:rsidR="00AF347E">
        <w:t>drug, J. Pharm. Sci. 98:1750-1764, 2009</w:t>
      </w:r>
    </w:p>
    <w:p w:rsidR="005D52CD" w:rsidRPr="005D52CD" w:rsidRDefault="005D52CD" w:rsidP="005D52CD">
      <w:pPr>
        <w:pStyle w:val="NormalWeb"/>
        <w:spacing w:line="480" w:lineRule="auto"/>
      </w:pPr>
      <w:r w:rsidRPr="005D52CD">
        <w:lastRenderedPageBreak/>
        <w:t>24. Sha</w:t>
      </w:r>
      <w:r w:rsidR="00AF347E">
        <w:t xml:space="preserve">h A., Serajuddin A.T. M., </w:t>
      </w:r>
      <w:r w:rsidRPr="005D52CD">
        <w:t>Development of Solid SEDDS, I:</w:t>
      </w:r>
      <w:r w:rsidRPr="005D52CD">
        <w:rPr>
          <w:b/>
          <w:bCs/>
        </w:rPr>
        <w:t xml:space="preserve"> </w:t>
      </w:r>
      <w:r w:rsidRPr="005D52CD">
        <w:t>Use of Poloxamer 188 as bo</w:t>
      </w:r>
      <w:r w:rsidR="00325850">
        <w:t>th s</w:t>
      </w:r>
      <w:r w:rsidRPr="005D52CD">
        <w:t>ol</w:t>
      </w:r>
      <w:r w:rsidR="00AF347E">
        <w:t>idifying and</w:t>
      </w:r>
      <w:r w:rsidR="00325850">
        <w:t xml:space="preserve"> emulsifying a</w:t>
      </w:r>
      <w:r w:rsidR="009B174C">
        <w:t>gent, Pharm. Res., DOI 10.1007/s11095-012-0704-x (published online: 28 February, 2012)</w:t>
      </w:r>
    </w:p>
    <w:p w:rsidR="00813D43" w:rsidRPr="00813D43" w:rsidRDefault="005D52CD" w:rsidP="00813D43">
      <w:pPr>
        <w:autoSpaceDE w:val="0"/>
        <w:autoSpaceDN w:val="0"/>
        <w:adjustRightInd w:val="0"/>
        <w:spacing w:after="0" w:line="480" w:lineRule="auto"/>
        <w:rPr>
          <w:rFonts w:ascii="Times New Roman" w:eastAsiaTheme="minorHAnsi" w:hAnsi="Times New Roman"/>
          <w:sz w:val="24"/>
          <w:szCs w:val="24"/>
        </w:rPr>
      </w:pPr>
      <w:r w:rsidRPr="00813D43">
        <w:rPr>
          <w:rFonts w:ascii="Times New Roman" w:hAnsi="Times New Roman"/>
          <w:sz w:val="24"/>
          <w:szCs w:val="24"/>
        </w:rPr>
        <w:t xml:space="preserve">25. </w:t>
      </w:r>
      <w:r w:rsidR="00813D43" w:rsidRPr="00813D43">
        <w:rPr>
          <w:rFonts w:ascii="Times New Roman" w:eastAsiaTheme="minorHAnsi" w:hAnsi="Times New Roman"/>
          <w:sz w:val="24"/>
          <w:szCs w:val="24"/>
        </w:rPr>
        <w:t>Yagi N., Terashima Y., Kenmotsu H., Sekikawa H.,</w:t>
      </w:r>
      <w:r w:rsidR="00813D43">
        <w:rPr>
          <w:rFonts w:ascii="Times New Roman" w:eastAsiaTheme="minorHAnsi" w:hAnsi="Times New Roman"/>
          <w:sz w:val="24"/>
          <w:szCs w:val="24"/>
        </w:rPr>
        <w:t xml:space="preserve"> </w:t>
      </w:r>
      <w:r w:rsidR="00813D43" w:rsidRPr="00813D43">
        <w:rPr>
          <w:rFonts w:ascii="Times New Roman" w:eastAsiaTheme="minorHAnsi" w:hAnsi="Times New Roman"/>
          <w:sz w:val="24"/>
          <w:szCs w:val="24"/>
        </w:rPr>
        <w:t>Takada M., Dissolution behavior of probucol from</w:t>
      </w:r>
      <w:r w:rsidR="00813D43">
        <w:rPr>
          <w:rFonts w:ascii="Times New Roman" w:eastAsiaTheme="minorHAnsi" w:hAnsi="Times New Roman"/>
          <w:sz w:val="24"/>
          <w:szCs w:val="24"/>
        </w:rPr>
        <w:t xml:space="preserve"> </w:t>
      </w:r>
      <w:r w:rsidR="00813D43" w:rsidRPr="00813D43">
        <w:rPr>
          <w:rFonts w:ascii="Times New Roman" w:eastAsiaTheme="minorHAnsi" w:hAnsi="Times New Roman"/>
          <w:sz w:val="24"/>
          <w:szCs w:val="24"/>
        </w:rPr>
        <w:t>solid dispersion systems of probucol</w:t>
      </w:r>
      <w:r w:rsidR="00917E1D">
        <w:rPr>
          <w:rFonts w:ascii="Times New Roman" w:eastAsiaTheme="minorHAnsi" w:hAnsi="Times New Roman"/>
          <w:sz w:val="24"/>
          <w:szCs w:val="24"/>
        </w:rPr>
        <w:t xml:space="preserve"> </w:t>
      </w:r>
      <w:r w:rsidR="00813D43" w:rsidRPr="00813D43">
        <w:rPr>
          <w:rFonts w:ascii="Times New Roman" w:eastAsiaTheme="minorHAnsi" w:hAnsi="Times New Roman"/>
          <w:sz w:val="24"/>
          <w:szCs w:val="24"/>
        </w:rPr>
        <w:t>polyvinylpyrrolidone,</w:t>
      </w:r>
      <w:r w:rsidR="00813D43">
        <w:rPr>
          <w:rFonts w:ascii="Times New Roman" w:eastAsiaTheme="minorHAnsi" w:hAnsi="Times New Roman"/>
          <w:sz w:val="24"/>
          <w:szCs w:val="24"/>
        </w:rPr>
        <w:t xml:space="preserve"> </w:t>
      </w:r>
      <w:r w:rsidR="00813D43" w:rsidRPr="00813D43">
        <w:rPr>
          <w:rFonts w:ascii="Times New Roman" w:eastAsiaTheme="minorHAnsi" w:hAnsi="Times New Roman"/>
          <w:sz w:val="24"/>
          <w:szCs w:val="24"/>
        </w:rPr>
        <w:t>Chem. Pharm. Bull., 44:241-244. 1996</w:t>
      </w:r>
    </w:p>
    <w:p w:rsidR="00813D43" w:rsidRPr="00813D43" w:rsidRDefault="00813D43" w:rsidP="00813D43">
      <w:pPr>
        <w:autoSpaceDE w:val="0"/>
        <w:autoSpaceDN w:val="0"/>
        <w:adjustRightInd w:val="0"/>
        <w:spacing w:after="0" w:line="480" w:lineRule="auto"/>
        <w:rPr>
          <w:rFonts w:ascii="Times New Roman" w:eastAsiaTheme="minorHAnsi" w:hAnsi="Times New Roman"/>
          <w:sz w:val="24"/>
          <w:szCs w:val="24"/>
        </w:rPr>
      </w:pPr>
    </w:p>
    <w:p w:rsidR="00813D43" w:rsidRDefault="00813D43" w:rsidP="00813D43">
      <w:pPr>
        <w:autoSpaceDE w:val="0"/>
        <w:autoSpaceDN w:val="0"/>
        <w:adjustRightInd w:val="0"/>
        <w:spacing w:after="0" w:line="480" w:lineRule="auto"/>
        <w:rPr>
          <w:rFonts w:ascii="Times New Roman" w:eastAsiaTheme="minorHAnsi" w:hAnsi="Times New Roman"/>
          <w:sz w:val="24"/>
          <w:szCs w:val="24"/>
        </w:rPr>
      </w:pPr>
      <w:r w:rsidRPr="00813D43">
        <w:rPr>
          <w:rFonts w:ascii="Times New Roman" w:hAnsi="Times New Roman"/>
          <w:sz w:val="24"/>
          <w:szCs w:val="24"/>
        </w:rPr>
        <w:t xml:space="preserve">26. </w:t>
      </w:r>
      <w:r w:rsidRPr="00813D43">
        <w:rPr>
          <w:rFonts w:ascii="Times New Roman" w:eastAsiaTheme="minorHAnsi" w:hAnsi="Times New Roman"/>
          <w:sz w:val="24"/>
          <w:szCs w:val="24"/>
        </w:rPr>
        <w:t>Zaghloul A., Khattab I., Nada K.A., Al-Saidan S., Preparation, characterization and optimization of probucol self-emulsified drug delivery system to enhance solubility and dissolution, Pharmazie, 9: 654-660, 2008</w:t>
      </w:r>
    </w:p>
    <w:p w:rsidR="009E0E57" w:rsidRDefault="009E0E57" w:rsidP="00813D43">
      <w:pPr>
        <w:autoSpaceDE w:val="0"/>
        <w:autoSpaceDN w:val="0"/>
        <w:adjustRightInd w:val="0"/>
        <w:spacing w:after="0" w:line="480" w:lineRule="auto"/>
        <w:rPr>
          <w:rFonts w:ascii="Times New Roman" w:eastAsiaTheme="minorHAnsi" w:hAnsi="Times New Roman"/>
          <w:sz w:val="24"/>
          <w:szCs w:val="24"/>
        </w:rPr>
      </w:pPr>
    </w:p>
    <w:p w:rsidR="009E0E57" w:rsidRPr="009E0E57" w:rsidRDefault="009E0E57" w:rsidP="009E0E57">
      <w:pPr>
        <w:autoSpaceDE w:val="0"/>
        <w:autoSpaceDN w:val="0"/>
        <w:adjustRightInd w:val="0"/>
        <w:spacing w:after="0" w:line="480" w:lineRule="auto"/>
        <w:rPr>
          <w:rFonts w:ascii="Times New Roman" w:eastAsiaTheme="minorHAnsi" w:hAnsi="Times New Roman"/>
          <w:bCs/>
          <w:sz w:val="24"/>
          <w:szCs w:val="24"/>
        </w:rPr>
      </w:pPr>
      <w:r>
        <w:rPr>
          <w:rFonts w:ascii="Times New Roman" w:eastAsiaTheme="minorHAnsi" w:hAnsi="Times New Roman"/>
          <w:sz w:val="24"/>
          <w:szCs w:val="24"/>
        </w:rPr>
        <w:t xml:space="preserve">27. </w:t>
      </w:r>
      <w:hyperlink r:id="rId7" w:history="1">
        <w:r w:rsidRPr="009E0E57">
          <w:rPr>
            <w:rFonts w:ascii="Times New Roman" w:eastAsia="Times New Roman" w:hAnsi="Times New Roman"/>
            <w:bCs/>
            <w:color w:val="333333"/>
            <w:sz w:val="24"/>
            <w:szCs w:val="24"/>
          </w:rPr>
          <w:t>Greenspan</w:t>
        </w:r>
      </w:hyperlink>
      <w:r w:rsidRPr="009E0E57">
        <w:rPr>
          <w:rFonts w:ascii="Times New Roman" w:eastAsia="Times New Roman" w:hAnsi="Times New Roman"/>
          <w:bCs/>
          <w:color w:val="403838"/>
          <w:sz w:val="24"/>
          <w:szCs w:val="24"/>
        </w:rPr>
        <w:t xml:space="preserve"> P., </w:t>
      </w:r>
      <w:hyperlink r:id="rId8" w:history="1">
        <w:r w:rsidRPr="009E0E57">
          <w:rPr>
            <w:rFonts w:ascii="Times New Roman" w:eastAsia="Times New Roman" w:hAnsi="Times New Roman"/>
            <w:bCs/>
            <w:color w:val="333333"/>
            <w:sz w:val="24"/>
            <w:szCs w:val="24"/>
          </w:rPr>
          <w:t>Fowler</w:t>
        </w:r>
      </w:hyperlink>
      <w:r w:rsidRPr="009E0E57">
        <w:rPr>
          <w:rFonts w:ascii="Times New Roman" w:eastAsia="Times New Roman" w:hAnsi="Times New Roman"/>
          <w:bCs/>
          <w:color w:val="403838"/>
          <w:sz w:val="24"/>
          <w:szCs w:val="24"/>
        </w:rPr>
        <w:t xml:space="preserve"> S.D., </w:t>
      </w:r>
      <w:r w:rsidRPr="009E0E57">
        <w:rPr>
          <w:rFonts w:ascii="Times New Roman" w:eastAsiaTheme="minorHAnsi" w:hAnsi="Times New Roman"/>
          <w:bCs/>
          <w:sz w:val="24"/>
          <w:szCs w:val="24"/>
        </w:rPr>
        <w:t xml:space="preserve">Spectrofluorometric studies </w:t>
      </w:r>
      <w:r w:rsidRPr="009E0E57">
        <w:rPr>
          <w:rFonts w:ascii="Times New Roman" w:eastAsiaTheme="minorHAnsi" w:hAnsi="Times New Roman"/>
          <w:sz w:val="24"/>
          <w:szCs w:val="24"/>
        </w:rPr>
        <w:t xml:space="preserve">of </w:t>
      </w:r>
      <w:r w:rsidRPr="009E0E57">
        <w:rPr>
          <w:rFonts w:ascii="Times New Roman" w:eastAsiaTheme="minorHAnsi" w:hAnsi="Times New Roman"/>
          <w:bCs/>
          <w:sz w:val="24"/>
          <w:szCs w:val="24"/>
        </w:rPr>
        <w:t>the lipid probe,</w:t>
      </w:r>
    </w:p>
    <w:p w:rsidR="009E0E57" w:rsidRPr="00813D43" w:rsidRDefault="00B00B45" w:rsidP="009E0E57">
      <w:pPr>
        <w:autoSpaceDE w:val="0"/>
        <w:autoSpaceDN w:val="0"/>
        <w:adjustRightInd w:val="0"/>
        <w:spacing w:after="0" w:line="480" w:lineRule="auto"/>
        <w:rPr>
          <w:rFonts w:ascii="Times New Roman" w:hAnsi="Times New Roman"/>
          <w:sz w:val="24"/>
          <w:szCs w:val="24"/>
        </w:rPr>
      </w:pPr>
      <w:r>
        <w:rPr>
          <w:rFonts w:ascii="Times New Roman" w:eastAsiaTheme="minorHAnsi" w:hAnsi="Times New Roman"/>
          <w:bCs/>
          <w:sz w:val="24"/>
          <w:szCs w:val="24"/>
        </w:rPr>
        <w:t>N</w:t>
      </w:r>
      <w:r w:rsidR="009E0E57">
        <w:rPr>
          <w:rFonts w:ascii="Times New Roman" w:eastAsiaTheme="minorHAnsi" w:hAnsi="Times New Roman"/>
          <w:bCs/>
          <w:sz w:val="24"/>
          <w:szCs w:val="24"/>
        </w:rPr>
        <w:t xml:space="preserve">ile red, </w:t>
      </w:r>
      <w:r w:rsidR="009E0E57" w:rsidRPr="009E0E57">
        <w:rPr>
          <w:rFonts w:ascii="Times New Roman" w:eastAsiaTheme="minorHAnsi" w:hAnsi="Times New Roman"/>
          <w:bCs/>
          <w:sz w:val="24"/>
          <w:szCs w:val="24"/>
        </w:rPr>
        <w:t xml:space="preserve"> </w:t>
      </w:r>
      <w:r w:rsidR="009E0E57">
        <w:rPr>
          <w:rFonts w:ascii="Times New Roman" w:hAnsi="Times New Roman"/>
          <w:sz w:val="24"/>
          <w:szCs w:val="24"/>
        </w:rPr>
        <w:t>J. Lipid Res.</w:t>
      </w:r>
      <w:r w:rsidR="009E0E57" w:rsidRPr="009E0E57">
        <w:rPr>
          <w:rFonts w:ascii="Times New Roman" w:hAnsi="Times New Roman"/>
          <w:sz w:val="24"/>
          <w:szCs w:val="24"/>
        </w:rPr>
        <w:t>,</w:t>
      </w:r>
      <w:r w:rsidR="009E0E57" w:rsidRPr="009E0E57">
        <w:rPr>
          <w:rStyle w:val="apple-converted-space"/>
          <w:rFonts w:ascii="Times New Roman" w:hAnsi="Times New Roman"/>
          <w:color w:val="333300"/>
          <w:sz w:val="24"/>
          <w:szCs w:val="24"/>
          <w:shd w:val="clear" w:color="auto" w:fill="FFFFFF"/>
        </w:rPr>
        <w:t> </w:t>
      </w:r>
      <w:r w:rsidR="009E0E57">
        <w:rPr>
          <w:rStyle w:val="slug-vol"/>
          <w:rFonts w:ascii="Times New Roman" w:hAnsi="Times New Roman"/>
          <w:color w:val="333300"/>
          <w:sz w:val="24"/>
          <w:szCs w:val="24"/>
          <w:bdr w:val="none" w:sz="0" w:space="0" w:color="auto" w:frame="1"/>
          <w:shd w:val="clear" w:color="auto" w:fill="FFFFFF"/>
        </w:rPr>
        <w:t>26:</w:t>
      </w:r>
      <w:r w:rsidR="009E0E57" w:rsidRPr="009E0E57">
        <w:rPr>
          <w:rStyle w:val="apple-converted-space"/>
          <w:rFonts w:ascii="Times New Roman" w:hAnsi="Times New Roman"/>
          <w:color w:val="333300"/>
          <w:sz w:val="24"/>
          <w:szCs w:val="24"/>
          <w:bdr w:val="none" w:sz="0" w:space="0" w:color="auto" w:frame="1"/>
          <w:shd w:val="clear" w:color="auto" w:fill="FFFFFF"/>
        </w:rPr>
        <w:t> </w:t>
      </w:r>
      <w:r w:rsidR="00222689" w:rsidRPr="00222689">
        <w:rPr>
          <w:rStyle w:val="slug-pages"/>
          <w:rFonts w:ascii="Times New Roman" w:hAnsi="Times New Roman"/>
          <w:color w:val="333300"/>
          <w:sz w:val="24"/>
          <w:szCs w:val="24"/>
          <w:bdr w:val="none" w:sz="0" w:space="0" w:color="auto" w:frame="1"/>
          <w:shd w:val="clear" w:color="auto" w:fill="FFFFFF"/>
        </w:rPr>
        <w:t>781-</w:t>
      </w:r>
      <w:r w:rsidR="009E0E57" w:rsidRPr="00222689">
        <w:rPr>
          <w:rStyle w:val="slug-pages"/>
          <w:rFonts w:ascii="Times New Roman" w:hAnsi="Times New Roman"/>
          <w:color w:val="333300"/>
          <w:sz w:val="24"/>
          <w:szCs w:val="24"/>
          <w:bdr w:val="none" w:sz="0" w:space="0" w:color="auto" w:frame="1"/>
          <w:shd w:val="clear" w:color="auto" w:fill="FFFFFF"/>
        </w:rPr>
        <w:t>9</w:t>
      </w:r>
      <w:r w:rsidR="00222689" w:rsidRPr="00222689">
        <w:rPr>
          <w:rStyle w:val="slug-pages"/>
          <w:rFonts w:ascii="Times New Roman" w:hAnsi="Times New Roman"/>
          <w:color w:val="333300"/>
          <w:sz w:val="24"/>
          <w:szCs w:val="24"/>
          <w:bdr w:val="none" w:sz="0" w:space="0" w:color="auto" w:frame="1"/>
          <w:shd w:val="clear" w:color="auto" w:fill="FFFFFF"/>
        </w:rPr>
        <w:t>,</w:t>
      </w:r>
      <w:r w:rsidR="009E0E57" w:rsidRPr="009E0E57">
        <w:rPr>
          <w:rStyle w:val="slug-pages"/>
          <w:rFonts w:ascii="Times New Roman" w:hAnsi="Times New Roman"/>
          <w:color w:val="333300"/>
          <w:sz w:val="24"/>
          <w:szCs w:val="24"/>
          <w:bdr w:val="none" w:sz="0" w:space="0" w:color="auto" w:frame="1"/>
          <w:shd w:val="clear" w:color="auto" w:fill="FFFFFF"/>
        </w:rPr>
        <w:t xml:space="preserve"> 198</w:t>
      </w:r>
      <w:r w:rsidR="009E0E57" w:rsidRPr="002B19CA">
        <w:rPr>
          <w:rStyle w:val="slug-pages"/>
          <w:rFonts w:ascii="Times New Roman" w:hAnsi="Times New Roman"/>
          <w:color w:val="333300"/>
          <w:sz w:val="24"/>
          <w:szCs w:val="24"/>
          <w:bdr w:val="none" w:sz="0" w:space="0" w:color="auto" w:frame="1"/>
          <w:shd w:val="clear" w:color="auto" w:fill="FFFFFF"/>
        </w:rPr>
        <w:t>5</w:t>
      </w:r>
    </w:p>
    <w:p w:rsidR="005D52CD" w:rsidRPr="005D52CD" w:rsidRDefault="009E0E57" w:rsidP="005D52CD">
      <w:pPr>
        <w:pStyle w:val="NormalWeb"/>
        <w:spacing w:line="480" w:lineRule="auto"/>
      </w:pPr>
      <w:r>
        <w:t>28</w:t>
      </w:r>
      <w:r w:rsidR="00813D43">
        <w:t xml:space="preserve">. </w:t>
      </w:r>
      <w:r w:rsidR="005D52CD" w:rsidRPr="005D52CD">
        <w:t>Strawhecker K</w:t>
      </w:r>
      <w:r w:rsidR="00AF347E">
        <w:t>.</w:t>
      </w:r>
      <w:r w:rsidR="005D52CD" w:rsidRPr="005D52CD">
        <w:t>, Manias E</w:t>
      </w:r>
      <w:r w:rsidR="00AF347E">
        <w:t>.,</w:t>
      </w:r>
      <w:r w:rsidR="005D52CD" w:rsidRPr="005D52CD">
        <w:t xml:space="preserve"> Crystallization behavior of poly (ethylene oxide) in the presence</w:t>
      </w:r>
      <w:r w:rsidR="00AF347E">
        <w:t xml:space="preserve"> of Na montmorillonite fillers, </w:t>
      </w:r>
      <w:r w:rsidR="005D52CD" w:rsidRPr="005D52CD">
        <w:t>Che</w:t>
      </w:r>
      <w:r w:rsidR="00AF347E">
        <w:t xml:space="preserve">mistry of </w:t>
      </w:r>
      <w:r w:rsidR="00103D20">
        <w:t>M</w:t>
      </w:r>
      <w:r w:rsidR="00AF347E">
        <w:t>aterials 15:844-849, 2003</w:t>
      </w:r>
    </w:p>
    <w:p w:rsidR="005D52CD" w:rsidRPr="005D52CD" w:rsidRDefault="009E0E57" w:rsidP="005D52CD">
      <w:pPr>
        <w:pStyle w:val="NormalWeb"/>
        <w:spacing w:line="480" w:lineRule="auto"/>
      </w:pPr>
      <w:r>
        <w:t>29</w:t>
      </w:r>
      <w:r w:rsidR="00813D43">
        <w:t xml:space="preserve">. </w:t>
      </w:r>
      <w:r w:rsidR="005D52CD" w:rsidRPr="005D52CD">
        <w:t>Gines J</w:t>
      </w:r>
      <w:r w:rsidR="00AF347E">
        <w:t>.</w:t>
      </w:r>
      <w:r w:rsidR="005D52CD" w:rsidRPr="005D52CD">
        <w:t>, Arias M</w:t>
      </w:r>
      <w:r w:rsidR="00AF347E">
        <w:t>.</w:t>
      </w:r>
      <w:r w:rsidR="005D52CD" w:rsidRPr="005D52CD">
        <w:t>, Moyano J</w:t>
      </w:r>
      <w:r w:rsidR="00AF347E">
        <w:t>.</w:t>
      </w:r>
      <w:r w:rsidR="005D52CD" w:rsidRPr="005D52CD">
        <w:t>, Sanchez-Soto P</w:t>
      </w:r>
      <w:r w:rsidR="00AF347E">
        <w:t>.,</w:t>
      </w:r>
      <w:r w:rsidR="005D52CD" w:rsidRPr="005D52CD">
        <w:t xml:space="preserve"> Thermal investigation of crystallization of polyethylene glycols in solid d</w:t>
      </w:r>
      <w:r w:rsidR="00AF347E">
        <w:t xml:space="preserve">ispersions containing oxazepam, </w:t>
      </w:r>
      <w:r w:rsidR="005D52CD" w:rsidRPr="005D52CD">
        <w:t>Int</w:t>
      </w:r>
      <w:r w:rsidR="00AF347E">
        <w:t>.</w:t>
      </w:r>
      <w:r w:rsidR="005D52CD" w:rsidRPr="005D52CD">
        <w:t xml:space="preserve"> J</w:t>
      </w:r>
      <w:r w:rsidR="00AF347E">
        <w:t>.</w:t>
      </w:r>
      <w:r w:rsidR="005D52CD" w:rsidRPr="005D52CD">
        <w:t xml:space="preserve"> Pharm</w:t>
      </w:r>
      <w:r w:rsidR="00AF347E">
        <w:t>.,</w:t>
      </w:r>
      <w:r w:rsidR="00222689">
        <w:t xml:space="preserve"> 143:247</w:t>
      </w:r>
      <w:r w:rsidR="00222689" w:rsidRPr="00ED62A8">
        <w:t>-</w:t>
      </w:r>
      <w:r w:rsidR="005D52CD" w:rsidRPr="00ED62A8">
        <w:t>53</w:t>
      </w:r>
      <w:r w:rsidR="00AF347E">
        <w:t>, 1996</w:t>
      </w:r>
      <w:r w:rsidR="005D52CD" w:rsidRPr="005D52CD">
        <w:t xml:space="preserve"> </w:t>
      </w:r>
    </w:p>
    <w:p w:rsidR="005D52CD" w:rsidRPr="005D52CD" w:rsidRDefault="009E0E57" w:rsidP="005D52CD">
      <w:pPr>
        <w:pStyle w:val="NormalWeb"/>
        <w:spacing w:line="480" w:lineRule="auto"/>
      </w:pPr>
      <w:r>
        <w:t>30</w:t>
      </w:r>
      <w:r w:rsidR="005D52CD" w:rsidRPr="005D52CD">
        <w:t>. Gránásy L</w:t>
      </w:r>
      <w:r w:rsidR="00AF347E">
        <w:t>.</w:t>
      </w:r>
      <w:r w:rsidR="005D52CD" w:rsidRPr="005D52CD">
        <w:t>, Pusztai T</w:t>
      </w:r>
      <w:r w:rsidR="00AF347E">
        <w:t>.</w:t>
      </w:r>
      <w:r w:rsidR="005D52CD" w:rsidRPr="005D52CD">
        <w:t>, Tegze G</w:t>
      </w:r>
      <w:r w:rsidR="00AF347E">
        <w:t>.</w:t>
      </w:r>
      <w:r w:rsidR="005D52CD" w:rsidRPr="005D52CD">
        <w:t>, Warren J</w:t>
      </w:r>
      <w:r w:rsidR="00AF347E">
        <w:t>.</w:t>
      </w:r>
      <w:r w:rsidR="005D52CD" w:rsidRPr="005D52CD">
        <w:t>A</w:t>
      </w:r>
      <w:r w:rsidR="00AF347E">
        <w:t>.</w:t>
      </w:r>
      <w:r w:rsidR="005D52CD" w:rsidRPr="005D52CD">
        <w:t>, Douglas J</w:t>
      </w:r>
      <w:r w:rsidR="00AF347E">
        <w:t>.</w:t>
      </w:r>
      <w:r w:rsidR="005D52CD" w:rsidRPr="005D52CD">
        <w:t>F</w:t>
      </w:r>
      <w:r w:rsidR="00AF347E">
        <w:t xml:space="preserve">., </w:t>
      </w:r>
      <w:r w:rsidR="005D52CD" w:rsidRPr="005D52CD">
        <w:t>Growth and form of</w:t>
      </w:r>
      <w:r w:rsidR="00AF347E">
        <w:t xml:space="preserve"> spherulites. Physical Review E, </w:t>
      </w:r>
      <w:r w:rsidR="005D52CD" w:rsidRPr="005D52CD">
        <w:t>72:011605</w:t>
      </w:r>
      <w:r w:rsidR="00AF347E">
        <w:t>, 2005</w:t>
      </w:r>
    </w:p>
    <w:p w:rsidR="005D52CD" w:rsidRPr="005D52CD" w:rsidRDefault="009E0E57" w:rsidP="005D52CD">
      <w:pPr>
        <w:pStyle w:val="NormalWeb"/>
        <w:spacing w:line="480" w:lineRule="auto"/>
      </w:pPr>
      <w:r>
        <w:t>31</w:t>
      </w:r>
      <w:r w:rsidR="005D52CD" w:rsidRPr="005D52CD">
        <w:t>. Morris K</w:t>
      </w:r>
      <w:r w:rsidR="00AF347E">
        <w:t>.</w:t>
      </w:r>
      <w:r w:rsidR="005D52CD" w:rsidRPr="005D52CD">
        <w:t>R</w:t>
      </w:r>
      <w:r w:rsidR="00AF347E">
        <w:t>.</w:t>
      </w:r>
      <w:r w:rsidR="005D52CD" w:rsidRPr="005D52CD">
        <w:t>, Knipp G</w:t>
      </w:r>
      <w:r w:rsidR="00AF347E">
        <w:t>.</w:t>
      </w:r>
      <w:r w:rsidR="005D52CD" w:rsidRPr="005D52CD">
        <w:t>T</w:t>
      </w:r>
      <w:r w:rsidR="00AF347E">
        <w:t>.</w:t>
      </w:r>
      <w:r w:rsidR="005D52CD" w:rsidRPr="005D52CD">
        <w:t>, Serajuddin A</w:t>
      </w:r>
      <w:r w:rsidR="00AF347E">
        <w:t xml:space="preserve">.T.M., </w:t>
      </w:r>
      <w:r w:rsidR="005D52CD" w:rsidRPr="005D52CD">
        <w:t>Structural properties of polyethylene glycol—polysorbate 80 mixture, a solid dispersion vehicle</w:t>
      </w:r>
      <w:r w:rsidR="00AF347E">
        <w:t>,</w:t>
      </w:r>
      <w:r w:rsidR="005D52CD" w:rsidRPr="005D52CD">
        <w:t xml:space="preserve"> J</w:t>
      </w:r>
      <w:r w:rsidR="00AF347E">
        <w:t>.</w:t>
      </w:r>
      <w:r w:rsidR="005D52CD" w:rsidRPr="005D52CD">
        <w:t xml:space="preserve"> Pharm</w:t>
      </w:r>
      <w:r w:rsidR="00AF347E">
        <w:t>.</w:t>
      </w:r>
      <w:r w:rsidR="005D52CD" w:rsidRPr="005D52CD">
        <w:t xml:space="preserve"> Sci</w:t>
      </w:r>
      <w:r w:rsidR="00AF347E">
        <w:t xml:space="preserve">. </w:t>
      </w:r>
      <w:r w:rsidR="005D52CD" w:rsidRPr="005D52CD">
        <w:t>81:1185-1188</w:t>
      </w:r>
      <w:r w:rsidR="00AF347E">
        <w:t>, 1992</w:t>
      </w:r>
      <w:r w:rsidR="005D52CD" w:rsidRPr="005D52CD">
        <w:t xml:space="preserve"> </w:t>
      </w:r>
    </w:p>
    <w:p w:rsidR="005D52CD" w:rsidRDefault="009E0E57" w:rsidP="005D52CD">
      <w:pPr>
        <w:pStyle w:val="NormalWeb"/>
        <w:spacing w:line="480" w:lineRule="auto"/>
      </w:pPr>
      <w:r>
        <w:lastRenderedPageBreak/>
        <w:t>32</w:t>
      </w:r>
      <w:r w:rsidR="005D52CD" w:rsidRPr="005D52CD">
        <w:t>. Sutananta W</w:t>
      </w:r>
      <w:r w:rsidR="00AF347E">
        <w:t>.</w:t>
      </w:r>
      <w:r w:rsidR="005D52CD" w:rsidRPr="005D52CD">
        <w:t>, Craig D</w:t>
      </w:r>
      <w:r w:rsidR="00AF347E">
        <w:t>.</w:t>
      </w:r>
      <w:r w:rsidR="005D52CD" w:rsidRPr="005D52CD">
        <w:t>Q</w:t>
      </w:r>
      <w:r w:rsidR="00AF347E">
        <w:t>.</w:t>
      </w:r>
      <w:r w:rsidR="005D52CD" w:rsidRPr="005D52CD">
        <w:t>M</w:t>
      </w:r>
      <w:r w:rsidR="00AF347E">
        <w:t>.</w:t>
      </w:r>
      <w:r w:rsidR="005D52CD" w:rsidRPr="005D52CD">
        <w:t>, Newton J</w:t>
      </w:r>
      <w:r w:rsidR="00AF347E">
        <w:t>.</w:t>
      </w:r>
      <w:r w:rsidR="005D52CD" w:rsidRPr="005D52CD">
        <w:t>M</w:t>
      </w:r>
      <w:r w:rsidR="00AF347E">
        <w:t>.,</w:t>
      </w:r>
      <w:r w:rsidR="005D52CD" w:rsidRPr="005D52CD">
        <w:t xml:space="preserve"> An investigation into the effect of preparation conditions on the structure and mechanical properties of pharmaceutical glyceride bases</w:t>
      </w:r>
      <w:r w:rsidR="00AF347E">
        <w:t>,</w:t>
      </w:r>
      <w:r w:rsidR="005D52CD" w:rsidRPr="005D52CD">
        <w:t xml:space="preserve"> Int</w:t>
      </w:r>
      <w:r w:rsidR="00AF347E">
        <w:t>.</w:t>
      </w:r>
      <w:r w:rsidR="005D52CD" w:rsidRPr="005D52CD">
        <w:t xml:space="preserve"> J</w:t>
      </w:r>
      <w:r w:rsidR="00AF347E">
        <w:t>.</w:t>
      </w:r>
      <w:r w:rsidR="005D52CD" w:rsidRPr="005D52CD">
        <w:t xml:space="preserve"> Pharm</w:t>
      </w:r>
      <w:r w:rsidR="00AF347E">
        <w:t>.,</w:t>
      </w:r>
      <w:r w:rsidR="005D52CD" w:rsidRPr="005D52CD">
        <w:t xml:space="preserve"> 110:75-91</w:t>
      </w:r>
      <w:r w:rsidR="00AF347E">
        <w:t>, 1994</w:t>
      </w:r>
      <w:r w:rsidR="005D52CD" w:rsidRPr="005D52CD">
        <w:t xml:space="preserve"> </w:t>
      </w:r>
    </w:p>
    <w:p w:rsidR="00AF347E" w:rsidRDefault="00AF347E" w:rsidP="005D52CD">
      <w:pPr>
        <w:pStyle w:val="NormalWeb"/>
        <w:spacing w:line="480" w:lineRule="auto"/>
      </w:pPr>
    </w:p>
    <w:p w:rsidR="00AF347E" w:rsidRDefault="00AF347E" w:rsidP="005D52CD">
      <w:pPr>
        <w:pStyle w:val="NormalWeb"/>
        <w:spacing w:line="480" w:lineRule="auto"/>
      </w:pPr>
    </w:p>
    <w:p w:rsidR="00AF347E" w:rsidRDefault="00AF347E" w:rsidP="005D52CD">
      <w:pPr>
        <w:pStyle w:val="NormalWeb"/>
        <w:spacing w:line="480" w:lineRule="auto"/>
      </w:pPr>
    </w:p>
    <w:p w:rsidR="00AF347E" w:rsidRPr="005D52CD" w:rsidRDefault="00AF347E" w:rsidP="005D52CD">
      <w:pPr>
        <w:pStyle w:val="NormalWeb"/>
        <w:spacing w:line="480" w:lineRule="auto"/>
      </w:pPr>
    </w:p>
    <w:p w:rsidR="005D52CD" w:rsidRDefault="00926B3A" w:rsidP="005D52CD">
      <w:pPr>
        <w:autoSpaceDE w:val="0"/>
        <w:autoSpaceDN w:val="0"/>
        <w:adjustRightInd w:val="0"/>
        <w:spacing w:after="0" w:line="480" w:lineRule="auto"/>
        <w:jc w:val="both"/>
        <w:rPr>
          <w:rFonts w:ascii="Times New Roman" w:hAnsi="Times New Roman"/>
          <w:sz w:val="24"/>
          <w:szCs w:val="24"/>
        </w:rPr>
      </w:pPr>
      <w:r w:rsidRPr="005D52CD">
        <w:rPr>
          <w:rFonts w:ascii="Times New Roman" w:hAnsi="Times New Roman"/>
          <w:sz w:val="24"/>
          <w:szCs w:val="24"/>
        </w:rPr>
        <w:fldChar w:fldCharType="end"/>
      </w:r>
    </w:p>
    <w:p w:rsidR="00AF347E" w:rsidRPr="005D52CD" w:rsidRDefault="00AF347E" w:rsidP="005D52CD">
      <w:pPr>
        <w:autoSpaceDE w:val="0"/>
        <w:autoSpaceDN w:val="0"/>
        <w:adjustRightInd w:val="0"/>
        <w:spacing w:after="0" w:line="480" w:lineRule="auto"/>
        <w:jc w:val="both"/>
        <w:rPr>
          <w:rFonts w:ascii="Times New Roman" w:hAnsi="Times New Roman"/>
          <w:b/>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r w:rsidRPr="00C73649">
        <w:rPr>
          <w:rFonts w:ascii="Times New Roman" w:hAnsi="Times New Roman"/>
          <w:noProof/>
          <w:sz w:val="24"/>
          <w:szCs w:val="24"/>
        </w:rPr>
        <w:lastRenderedPageBreak/>
        <w:drawing>
          <wp:inline distT="0" distB="0" distL="0" distR="0">
            <wp:extent cx="5796915" cy="4184015"/>
            <wp:effectExtent l="19050" t="19050" r="13335" b="26035"/>
            <wp:docPr id="5" name="Picture 1" descr="paint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 fig-1"/>
                    <pic:cNvPicPr>
                      <a:picLocks noChangeAspect="1" noChangeArrowheads="1"/>
                    </pic:cNvPicPr>
                  </pic:nvPicPr>
                  <pic:blipFill>
                    <a:blip r:embed="rId9" cstate="print"/>
                    <a:srcRect/>
                    <a:stretch>
                      <a:fillRect/>
                    </a:stretch>
                  </pic:blipFill>
                  <pic:spPr bwMode="auto">
                    <a:xfrm>
                      <a:off x="0" y="0"/>
                      <a:ext cx="5796915" cy="4184015"/>
                    </a:xfrm>
                    <a:prstGeom prst="rect">
                      <a:avLst/>
                    </a:prstGeom>
                    <a:noFill/>
                    <a:ln w="12700">
                      <a:solidFill>
                        <a:schemeClr val="tx1"/>
                      </a:solid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b/>
          <w:sz w:val="24"/>
          <w:szCs w:val="24"/>
        </w:rPr>
        <w:t>Figure 1</w:t>
      </w:r>
      <w:r w:rsidRPr="00C73649">
        <w:rPr>
          <w:rFonts w:ascii="Times New Roman" w:hAnsi="Times New Roman"/>
          <w:sz w:val="24"/>
          <w:szCs w:val="24"/>
        </w:rPr>
        <w:t xml:space="preserve"> Powder XRD patterns of solid systems containing (A) Captex 355/Acconon C-44 and (B) Captex 355/Gelucire 44/14 mixtures. Key: (a) Neat lauroyl polyoxyl</w:t>
      </w:r>
      <w:r w:rsidR="00DF5615">
        <w:rPr>
          <w:rFonts w:ascii="Times New Roman" w:hAnsi="Times New Roman"/>
          <w:sz w:val="24"/>
          <w:szCs w:val="24"/>
        </w:rPr>
        <w:t xml:space="preserve"> </w:t>
      </w:r>
      <w:r w:rsidRPr="00C73649">
        <w:rPr>
          <w:rFonts w:ascii="Times New Roman" w:hAnsi="Times New Roman"/>
          <w:sz w:val="24"/>
          <w:szCs w:val="24"/>
        </w:rPr>
        <w:t>glyceride (Acconon C-44 or Gelucire 44/14),  (b) Captex 355/lauroyl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3:7; (c) Captex 355/lauroyl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4:6; (d) Captex 355/lauroyl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1:1; (e) Captex 355/lauroyl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6:4; and (f) Captex 355/lauroyl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7:3.</w:t>
      </w: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noProof/>
          <w:sz w:val="24"/>
          <w:szCs w:val="24"/>
        </w:rPr>
        <w:lastRenderedPageBreak/>
        <w:drawing>
          <wp:inline distT="0" distB="0" distL="0" distR="0">
            <wp:extent cx="5857240" cy="4554855"/>
            <wp:effectExtent l="19050" t="19050" r="10160" b="17145"/>
            <wp:docPr id="7" name="Picture 2" descr="paint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 fig-2"/>
                    <pic:cNvPicPr>
                      <a:picLocks noChangeAspect="1" noChangeArrowheads="1"/>
                    </pic:cNvPicPr>
                  </pic:nvPicPr>
                  <pic:blipFill>
                    <a:blip r:embed="rId10" cstate="print"/>
                    <a:srcRect/>
                    <a:stretch>
                      <a:fillRect/>
                    </a:stretch>
                  </pic:blipFill>
                  <pic:spPr bwMode="auto">
                    <a:xfrm>
                      <a:off x="0" y="0"/>
                      <a:ext cx="5857240" cy="4554855"/>
                    </a:xfrm>
                    <a:prstGeom prst="rect">
                      <a:avLst/>
                    </a:prstGeom>
                    <a:noFill/>
                    <a:ln w="12700">
                      <a:solidFill>
                        <a:schemeClr val="tx1"/>
                      </a:solid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b/>
          <w:sz w:val="24"/>
          <w:szCs w:val="24"/>
        </w:rPr>
        <w:t>Figure 2</w:t>
      </w:r>
      <w:r w:rsidRPr="00C73649">
        <w:rPr>
          <w:rFonts w:ascii="Times New Roman" w:hAnsi="Times New Roman"/>
          <w:sz w:val="24"/>
          <w:szCs w:val="24"/>
        </w:rPr>
        <w:t xml:space="preserve"> Powder XRD patterns of solid system containing (A) Cremophor EL/Acconon C-44 and (B) Cremophor EL/Gelucire 44/14 mixtures. Key: (a) Neat lauroyl polyoxyl</w:t>
      </w:r>
      <w:r w:rsidR="00DF5615">
        <w:rPr>
          <w:rFonts w:ascii="Times New Roman" w:hAnsi="Times New Roman"/>
          <w:sz w:val="24"/>
          <w:szCs w:val="24"/>
        </w:rPr>
        <w:t xml:space="preserve"> </w:t>
      </w:r>
      <w:r w:rsidRPr="00C73649">
        <w:rPr>
          <w:rFonts w:ascii="Times New Roman" w:hAnsi="Times New Roman"/>
          <w:sz w:val="24"/>
          <w:szCs w:val="24"/>
        </w:rPr>
        <w:t>glyceride (Acconon C-44 or Gelucire 44/14)  (b) Cremophor EL/lauroyl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3:7; (c) Cremophor EL/lauroyl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4:6; (d) Cremophor EL/lauroyl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1:1; (e) Cremophor EL/lauroyl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6:4; and (f) Cremophor EL/lauroyl polyoxyl</w:t>
      </w:r>
      <w:r w:rsidR="00DF5615">
        <w:rPr>
          <w:rFonts w:ascii="Times New Roman" w:hAnsi="Times New Roman"/>
          <w:sz w:val="24"/>
          <w:szCs w:val="24"/>
        </w:rPr>
        <w:t xml:space="preserve"> </w:t>
      </w:r>
      <w:r w:rsidRPr="00C73649">
        <w:rPr>
          <w:rFonts w:ascii="Times New Roman" w:hAnsi="Times New Roman"/>
          <w:sz w:val="24"/>
          <w:szCs w:val="24"/>
        </w:rPr>
        <w:t>glyceride</w:t>
      </w:r>
      <w:r w:rsidR="00103D20">
        <w:rPr>
          <w:rFonts w:ascii="Times New Roman" w:hAnsi="Times New Roman"/>
          <w:sz w:val="24"/>
          <w:szCs w:val="24"/>
        </w:rPr>
        <w:t xml:space="preserve"> </w:t>
      </w:r>
      <w:r w:rsidR="00103D20" w:rsidRPr="00C73649">
        <w:rPr>
          <w:rFonts w:ascii="Times New Roman" w:hAnsi="Times New Roman"/>
          <w:sz w:val="24"/>
          <w:szCs w:val="24"/>
        </w:rPr>
        <w:t>(Acconon C-44 or Gelucire 44/14)</w:t>
      </w:r>
      <w:r w:rsidRPr="00C73649">
        <w:rPr>
          <w:rFonts w:ascii="Times New Roman" w:hAnsi="Times New Roman"/>
          <w:sz w:val="24"/>
          <w:szCs w:val="24"/>
        </w:rPr>
        <w:t>, 7:3.</w:t>
      </w: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b/>
          <w:sz w:val="24"/>
          <w:szCs w:val="24"/>
        </w:rPr>
      </w:pPr>
      <w:r w:rsidRPr="00C73649">
        <w:rPr>
          <w:rFonts w:ascii="Times New Roman" w:hAnsi="Times New Roman"/>
          <w:b/>
          <w:noProof/>
          <w:sz w:val="24"/>
          <w:szCs w:val="24"/>
        </w:rPr>
        <w:lastRenderedPageBreak/>
        <w:drawing>
          <wp:inline distT="0" distB="0" distL="0" distR="0">
            <wp:extent cx="5805805" cy="3519805"/>
            <wp:effectExtent l="19050" t="19050" r="23495" b="23495"/>
            <wp:docPr id="10" name="Picture 3" descr="paint 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 fig-3"/>
                    <pic:cNvPicPr>
                      <a:picLocks noChangeAspect="1" noChangeArrowheads="1"/>
                    </pic:cNvPicPr>
                  </pic:nvPicPr>
                  <pic:blipFill>
                    <a:blip r:embed="rId11" cstate="print"/>
                    <a:srcRect/>
                    <a:stretch>
                      <a:fillRect/>
                    </a:stretch>
                  </pic:blipFill>
                  <pic:spPr bwMode="auto">
                    <a:xfrm>
                      <a:off x="0" y="0"/>
                      <a:ext cx="5805805" cy="3519805"/>
                    </a:xfrm>
                    <a:prstGeom prst="rect">
                      <a:avLst/>
                    </a:prstGeom>
                    <a:noFill/>
                    <a:ln w="12700">
                      <a:solidFill>
                        <a:schemeClr val="tx1"/>
                      </a:solid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b/>
          <w:sz w:val="24"/>
          <w:szCs w:val="24"/>
        </w:rPr>
        <w:t xml:space="preserve">Figure 3 </w:t>
      </w:r>
      <w:r w:rsidRPr="00C73649">
        <w:rPr>
          <w:rFonts w:ascii="Times New Roman" w:hAnsi="Times New Roman"/>
          <w:sz w:val="24"/>
          <w:szCs w:val="24"/>
        </w:rPr>
        <w:t>Powder-XRD patterns of solid systems incorporating liquid 1:1-mixture of Captex 355 and Cremophor EL in (A) Acconon C-44 and (B) Gelucire 44/14.   Key: (a) Neat lauroyl polyoxyl</w:t>
      </w:r>
      <w:r w:rsidR="00DF5615">
        <w:rPr>
          <w:rFonts w:ascii="Times New Roman" w:hAnsi="Times New Roman"/>
          <w:sz w:val="24"/>
          <w:szCs w:val="24"/>
        </w:rPr>
        <w:t xml:space="preserve"> </w:t>
      </w:r>
      <w:r w:rsidRPr="00C73649">
        <w:rPr>
          <w:rFonts w:ascii="Times New Roman" w:hAnsi="Times New Roman"/>
          <w:sz w:val="24"/>
          <w:szCs w:val="24"/>
        </w:rPr>
        <w:t>glyceride (Acconon C-44 or Gelucire 44/14), (b)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3:7; (c)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4:6, (d)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1:1; (e)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6:4; and (f)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7:3.</w:t>
      </w:r>
    </w:p>
    <w:p w:rsidR="00354FB6" w:rsidRPr="00C73649" w:rsidRDefault="00354FB6" w:rsidP="00354FB6">
      <w:pPr>
        <w:spacing w:line="480" w:lineRule="auto"/>
        <w:jc w:val="both"/>
        <w:rPr>
          <w:rFonts w:ascii="Times New Roman" w:hAnsi="Times New Roman"/>
          <w:sz w:val="24"/>
          <w:szCs w:val="24"/>
        </w:rPr>
      </w:pPr>
    </w:p>
    <w:p w:rsidR="00354FB6" w:rsidRPr="00C73649" w:rsidRDefault="00917E1D" w:rsidP="00354FB6">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32861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286125"/>
                    </a:xfrm>
                    <a:prstGeom prst="rect">
                      <a:avLst/>
                    </a:prstGeom>
                    <a:noFill/>
                    <a:ln w="9525">
                      <a:no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b/>
          <w:sz w:val="24"/>
          <w:szCs w:val="24"/>
        </w:rPr>
        <w:t xml:space="preserve">Figure 4 </w:t>
      </w:r>
      <w:r w:rsidRPr="00C73649">
        <w:rPr>
          <w:rFonts w:ascii="Times New Roman" w:hAnsi="Times New Roman"/>
          <w:sz w:val="24"/>
          <w:szCs w:val="24"/>
        </w:rPr>
        <w:t>DSC scans of solid systems incorporating liquid 1:1-mixture of Captex 355 and Cremophor EL in (A) Acconon C-44 and (B) Gelucire 44/14.   Key: (a) Neat lauroyl polyoxyl</w:t>
      </w:r>
      <w:r w:rsidR="00DF5615">
        <w:rPr>
          <w:rFonts w:ascii="Times New Roman" w:hAnsi="Times New Roman"/>
          <w:sz w:val="24"/>
          <w:szCs w:val="24"/>
        </w:rPr>
        <w:t xml:space="preserve"> </w:t>
      </w:r>
      <w:r w:rsidRPr="00C73649">
        <w:rPr>
          <w:rFonts w:ascii="Times New Roman" w:hAnsi="Times New Roman"/>
          <w:sz w:val="24"/>
          <w:szCs w:val="24"/>
        </w:rPr>
        <w:t>glyceride (Acconon C-44 or Gelucire 44/14), (b)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3:7; (c)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4:6, (d)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1:1; (e)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6:4; and (f) liquid lipid-surfactant mixture/lauroyl polyoxyl</w:t>
      </w:r>
      <w:r w:rsidR="00DF5615">
        <w:rPr>
          <w:rFonts w:ascii="Times New Roman" w:hAnsi="Times New Roman"/>
          <w:sz w:val="24"/>
          <w:szCs w:val="24"/>
        </w:rPr>
        <w:t xml:space="preserve"> </w:t>
      </w:r>
      <w:r w:rsidRPr="00C73649">
        <w:rPr>
          <w:rFonts w:ascii="Times New Roman" w:hAnsi="Times New Roman"/>
          <w:sz w:val="24"/>
          <w:szCs w:val="24"/>
        </w:rPr>
        <w:t>glyceride, 7:3.</w:t>
      </w: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r w:rsidRPr="00C73649">
        <w:rPr>
          <w:rFonts w:ascii="Times New Roman" w:hAnsi="Times New Roman"/>
          <w:noProof/>
          <w:sz w:val="24"/>
          <w:szCs w:val="24"/>
        </w:rPr>
        <w:lastRenderedPageBreak/>
        <w:drawing>
          <wp:inline distT="0" distB="0" distL="0" distR="0">
            <wp:extent cx="5833577" cy="4104376"/>
            <wp:effectExtent l="19050" t="19050" r="14773" b="10424"/>
            <wp:docPr id="14" name="Picture 12" descr="C:\Users\nrups\Desktop\Manuscript-1\Gelucire 4414 mic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rups\Desktop\Manuscript-1\Gelucire 4414 microscopy.JPG"/>
                    <pic:cNvPicPr>
                      <a:picLocks noChangeAspect="1" noChangeArrowheads="1"/>
                    </pic:cNvPicPr>
                  </pic:nvPicPr>
                  <pic:blipFill>
                    <a:blip r:embed="rId13" cstate="print"/>
                    <a:srcRect/>
                    <a:stretch>
                      <a:fillRect/>
                    </a:stretch>
                  </pic:blipFill>
                  <pic:spPr bwMode="auto">
                    <a:xfrm>
                      <a:off x="0" y="0"/>
                      <a:ext cx="5841818" cy="4110174"/>
                    </a:xfrm>
                    <a:prstGeom prst="rect">
                      <a:avLst/>
                    </a:prstGeom>
                    <a:noFill/>
                    <a:ln w="19050">
                      <a:solidFill>
                        <a:schemeClr val="tx1"/>
                      </a:solid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Pr>
          <w:rFonts w:ascii="Times New Roman" w:hAnsi="Times New Roman"/>
          <w:b/>
          <w:sz w:val="24"/>
          <w:szCs w:val="24"/>
        </w:rPr>
        <w:t>Figure 5</w:t>
      </w:r>
      <w:r w:rsidRPr="00C73649">
        <w:rPr>
          <w:rFonts w:ascii="Times New Roman" w:hAnsi="Times New Roman"/>
          <w:b/>
          <w:sz w:val="24"/>
          <w:szCs w:val="24"/>
        </w:rPr>
        <w:t xml:space="preserve"> </w:t>
      </w:r>
      <w:r w:rsidRPr="00C73649">
        <w:rPr>
          <w:rFonts w:ascii="Times New Roman" w:hAnsi="Times New Roman"/>
          <w:sz w:val="24"/>
          <w:szCs w:val="24"/>
        </w:rPr>
        <w:t>Photomicrographs of solid systems incorporating liquid 1:1-mixture of Captex 355 and Cremophor EL in lauroyl polyoxylglycerides (Acconon C-44). Key: (A) Photomicrograph of neat lauroyl polyoxylglycerides obtained from cross-polarized optical microscope (controlled cooling</w:t>
      </w:r>
      <w:r w:rsidR="00C50FC9">
        <w:rPr>
          <w:rFonts w:ascii="Times New Roman" w:hAnsi="Times New Roman"/>
          <w:sz w:val="24"/>
          <w:szCs w:val="24"/>
        </w:rPr>
        <w:t xml:space="preserve"> at the </w:t>
      </w:r>
      <w:r w:rsidR="00C50FC9" w:rsidRPr="00C73649">
        <w:rPr>
          <w:rFonts w:ascii="Times New Roman" w:hAnsi="Times New Roman"/>
          <w:sz w:val="24"/>
          <w:szCs w:val="24"/>
        </w:rPr>
        <w:t>rate of 0.1</w:t>
      </w:r>
      <w:r w:rsidR="00C50FC9" w:rsidRPr="00C73649">
        <w:rPr>
          <w:rFonts w:ascii="Times New Roman"/>
          <w:sz w:val="24"/>
          <w:szCs w:val="24"/>
        </w:rPr>
        <w:t>⁰</w:t>
      </w:r>
      <w:r w:rsidR="00C50FC9" w:rsidRPr="00C73649">
        <w:rPr>
          <w:rFonts w:ascii="Times New Roman" w:hAnsi="Times New Roman"/>
          <w:sz w:val="24"/>
          <w:szCs w:val="24"/>
        </w:rPr>
        <w:t xml:space="preserve"> C/min</w:t>
      </w:r>
      <w:r w:rsidRPr="00C73649">
        <w:rPr>
          <w:rFonts w:ascii="Times New Roman" w:hAnsi="Times New Roman"/>
          <w:sz w:val="24"/>
          <w:szCs w:val="24"/>
        </w:rPr>
        <w:t>); (B) photomicrograph under cross-polarized optical mi</w:t>
      </w:r>
      <w:r w:rsidR="00C50FC9">
        <w:rPr>
          <w:rFonts w:ascii="Times New Roman" w:hAnsi="Times New Roman"/>
          <w:sz w:val="24"/>
          <w:szCs w:val="24"/>
        </w:rPr>
        <w:t>croscope of 1:1 liquid mixture/l</w:t>
      </w:r>
      <w:r w:rsidRPr="00C73649">
        <w:rPr>
          <w:rFonts w:ascii="Times New Roman" w:hAnsi="Times New Roman"/>
          <w:sz w:val="24"/>
          <w:szCs w:val="24"/>
        </w:rPr>
        <w:t>auroyl polyoxyl</w:t>
      </w:r>
      <w:r w:rsidR="00DF5615">
        <w:rPr>
          <w:rFonts w:ascii="Times New Roman" w:hAnsi="Times New Roman"/>
          <w:sz w:val="24"/>
          <w:szCs w:val="24"/>
        </w:rPr>
        <w:t xml:space="preserve"> </w:t>
      </w:r>
      <w:r w:rsidRPr="00C73649">
        <w:rPr>
          <w:rFonts w:ascii="Times New Roman" w:hAnsi="Times New Roman"/>
          <w:sz w:val="24"/>
          <w:szCs w:val="24"/>
        </w:rPr>
        <w:t xml:space="preserve">glyceride (1:1) cooled to room temperature by </w:t>
      </w:r>
      <w:r w:rsidR="00C50FC9">
        <w:rPr>
          <w:rFonts w:ascii="Times New Roman" w:hAnsi="Times New Roman"/>
          <w:sz w:val="24"/>
          <w:szCs w:val="24"/>
        </w:rPr>
        <w:t>rapid</w:t>
      </w:r>
      <w:r w:rsidRPr="00C73649">
        <w:rPr>
          <w:rFonts w:ascii="Times New Roman" w:hAnsi="Times New Roman"/>
          <w:sz w:val="24"/>
          <w:szCs w:val="24"/>
        </w:rPr>
        <w:t xml:space="preserve"> </w:t>
      </w:r>
      <w:r w:rsidR="00C50FC9" w:rsidRPr="00C73649">
        <w:rPr>
          <w:rFonts w:ascii="Times New Roman" w:hAnsi="Times New Roman"/>
          <w:sz w:val="24"/>
          <w:szCs w:val="24"/>
        </w:rPr>
        <w:t>cooling;</w:t>
      </w:r>
      <w:r w:rsidRPr="00C73649">
        <w:rPr>
          <w:rFonts w:ascii="Times New Roman" w:hAnsi="Times New Roman"/>
          <w:sz w:val="24"/>
          <w:szCs w:val="24"/>
        </w:rPr>
        <w:t xml:space="preserve"> (C) photomicrograph under cross-polarized optical mi</w:t>
      </w:r>
      <w:r w:rsidR="00C50FC9">
        <w:rPr>
          <w:rFonts w:ascii="Times New Roman" w:hAnsi="Times New Roman"/>
          <w:sz w:val="24"/>
          <w:szCs w:val="24"/>
        </w:rPr>
        <w:t>croscope of 1:1 liquid mixture/l</w:t>
      </w:r>
      <w:r w:rsidRPr="00C73649">
        <w:rPr>
          <w:rFonts w:ascii="Times New Roman" w:hAnsi="Times New Roman"/>
          <w:sz w:val="24"/>
          <w:szCs w:val="24"/>
        </w:rPr>
        <w:t>auroyl polyoxyl</w:t>
      </w:r>
      <w:r w:rsidR="00DF5615">
        <w:rPr>
          <w:rFonts w:ascii="Times New Roman" w:hAnsi="Times New Roman"/>
          <w:sz w:val="24"/>
          <w:szCs w:val="24"/>
        </w:rPr>
        <w:t xml:space="preserve"> </w:t>
      </w:r>
      <w:r w:rsidRPr="00C73649">
        <w:rPr>
          <w:rFonts w:ascii="Times New Roman" w:hAnsi="Times New Roman"/>
          <w:sz w:val="24"/>
          <w:szCs w:val="24"/>
        </w:rPr>
        <w:t>glyceride (1:1) cooled to room temperature at the controlled rate of 0.1</w:t>
      </w:r>
      <w:r w:rsidRPr="00C73649">
        <w:rPr>
          <w:rFonts w:ascii="Times New Roman"/>
          <w:sz w:val="24"/>
          <w:szCs w:val="24"/>
        </w:rPr>
        <w:t>⁰</w:t>
      </w:r>
      <w:r w:rsidRPr="00C73649">
        <w:rPr>
          <w:rFonts w:ascii="Times New Roman" w:hAnsi="Times New Roman"/>
          <w:sz w:val="24"/>
          <w:szCs w:val="24"/>
        </w:rPr>
        <w:t xml:space="preserve"> C/min over a period of 4 hours. ; and (D) confocal fluorescence photomicrograph of 1:1 liquid mixture/lauroyl polyoxyl</w:t>
      </w:r>
      <w:r w:rsidR="00DF5615">
        <w:rPr>
          <w:rFonts w:ascii="Times New Roman" w:hAnsi="Times New Roman"/>
          <w:sz w:val="24"/>
          <w:szCs w:val="24"/>
        </w:rPr>
        <w:t xml:space="preserve"> </w:t>
      </w:r>
      <w:r w:rsidRPr="00C73649">
        <w:rPr>
          <w:rFonts w:ascii="Times New Roman" w:hAnsi="Times New Roman"/>
          <w:sz w:val="24"/>
          <w:szCs w:val="24"/>
        </w:rPr>
        <w:t>glyceride (1:1) cooled to room temperature at the controlled rate of 0.1</w:t>
      </w:r>
      <w:r w:rsidRPr="00C73649">
        <w:rPr>
          <w:rFonts w:ascii="Times New Roman"/>
          <w:sz w:val="24"/>
          <w:szCs w:val="24"/>
        </w:rPr>
        <w:t>⁰</w:t>
      </w:r>
      <w:r w:rsidRPr="00C73649">
        <w:rPr>
          <w:rFonts w:ascii="Times New Roman" w:hAnsi="Times New Roman"/>
          <w:sz w:val="24"/>
          <w:szCs w:val="24"/>
        </w:rPr>
        <w:t xml:space="preserve"> C/min over a period of 4 h</w:t>
      </w:r>
      <w:r w:rsidR="00CA3E06">
        <w:rPr>
          <w:rFonts w:ascii="Times New Roman" w:hAnsi="Times New Roman"/>
          <w:sz w:val="24"/>
          <w:szCs w:val="24"/>
        </w:rPr>
        <w:t>, showing that the Nile red is solubilized in the liquid phase.</w:t>
      </w:r>
    </w:p>
    <w:p w:rsidR="00354FB6" w:rsidRPr="00C73649" w:rsidRDefault="00354FB6" w:rsidP="00354FB6">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225146" cy="3083058"/>
            <wp:effectExtent l="19050" t="19050" r="23004" b="22092"/>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231925" cy="3088005"/>
                    </a:xfrm>
                    <a:prstGeom prst="rect">
                      <a:avLst/>
                    </a:prstGeom>
                    <a:noFill/>
                    <a:ln w="12700">
                      <a:solidFill>
                        <a:schemeClr val="tx1"/>
                      </a:solid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Pr>
          <w:rFonts w:ascii="Times New Roman" w:hAnsi="Times New Roman"/>
          <w:b/>
          <w:sz w:val="24"/>
          <w:szCs w:val="24"/>
        </w:rPr>
        <w:t>Figure 6</w:t>
      </w:r>
      <w:r w:rsidRPr="00C73649">
        <w:rPr>
          <w:rFonts w:ascii="Times New Roman" w:hAnsi="Times New Roman"/>
          <w:b/>
          <w:sz w:val="24"/>
          <w:szCs w:val="24"/>
        </w:rPr>
        <w:t xml:space="preserve"> </w:t>
      </w:r>
      <w:r w:rsidRPr="00C73649">
        <w:rPr>
          <w:rFonts w:ascii="Times New Roman" w:hAnsi="Times New Roman"/>
          <w:sz w:val="24"/>
          <w:szCs w:val="24"/>
        </w:rPr>
        <w:t>Dispersi</w:t>
      </w:r>
      <w:r>
        <w:rPr>
          <w:rFonts w:ascii="Times New Roman" w:hAnsi="Times New Roman"/>
          <w:sz w:val="24"/>
          <w:szCs w:val="24"/>
        </w:rPr>
        <w:t>on profile</w:t>
      </w:r>
      <w:r w:rsidR="00C50FC9">
        <w:rPr>
          <w:rFonts w:ascii="Times New Roman" w:hAnsi="Times New Roman"/>
          <w:sz w:val="24"/>
          <w:szCs w:val="24"/>
        </w:rPr>
        <w:t>s</w:t>
      </w:r>
      <w:r>
        <w:rPr>
          <w:rFonts w:ascii="Times New Roman" w:hAnsi="Times New Roman"/>
          <w:sz w:val="24"/>
          <w:szCs w:val="24"/>
        </w:rPr>
        <w:t xml:space="preserve"> of </w:t>
      </w:r>
      <w:r w:rsidR="00C50FC9">
        <w:rPr>
          <w:rFonts w:ascii="Times New Roman" w:hAnsi="Times New Roman"/>
          <w:sz w:val="24"/>
          <w:szCs w:val="24"/>
        </w:rPr>
        <w:t>solid formulations (hard gelatin capsule) containing 50% w/w of</w:t>
      </w:r>
      <w:r w:rsidR="00C50FC9" w:rsidRPr="00C50FC9">
        <w:rPr>
          <w:rFonts w:ascii="Times New Roman" w:hAnsi="Times New Roman"/>
          <w:sz w:val="24"/>
          <w:szCs w:val="24"/>
        </w:rPr>
        <w:t xml:space="preserve"> </w:t>
      </w:r>
      <w:r w:rsidR="00C50FC9">
        <w:rPr>
          <w:rFonts w:ascii="Times New Roman" w:hAnsi="Times New Roman"/>
          <w:sz w:val="24"/>
          <w:szCs w:val="24"/>
        </w:rPr>
        <w:t xml:space="preserve">Acconon C-44 and 50% w/w of </w:t>
      </w:r>
      <w:r w:rsidRPr="00C73649">
        <w:rPr>
          <w:rFonts w:ascii="Times New Roman" w:hAnsi="Times New Roman"/>
          <w:sz w:val="24"/>
          <w:szCs w:val="24"/>
        </w:rPr>
        <w:t xml:space="preserve">liquid </w:t>
      </w:r>
      <w:r w:rsidR="00C50FC9">
        <w:rPr>
          <w:rFonts w:ascii="Times New Roman" w:hAnsi="Times New Roman"/>
          <w:sz w:val="24"/>
          <w:szCs w:val="24"/>
        </w:rPr>
        <w:t xml:space="preserve">lipid-surfactant </w:t>
      </w:r>
      <w:r w:rsidRPr="00C73649">
        <w:rPr>
          <w:rFonts w:ascii="Times New Roman" w:hAnsi="Times New Roman"/>
          <w:sz w:val="24"/>
          <w:szCs w:val="24"/>
        </w:rPr>
        <w:t>mixture</w:t>
      </w:r>
      <w:r w:rsidR="00C50FC9">
        <w:rPr>
          <w:rFonts w:ascii="Times New Roman" w:hAnsi="Times New Roman"/>
          <w:sz w:val="24"/>
          <w:szCs w:val="24"/>
        </w:rPr>
        <w:t>s</w:t>
      </w:r>
      <w:r w:rsidRPr="00C73649">
        <w:rPr>
          <w:rFonts w:ascii="Times New Roman" w:hAnsi="Times New Roman"/>
          <w:sz w:val="24"/>
          <w:szCs w:val="24"/>
        </w:rPr>
        <w:t xml:space="preserve"> (</w:t>
      </w:r>
      <w:r w:rsidR="00C50FC9">
        <w:rPr>
          <w:rFonts w:ascii="Times New Roman" w:hAnsi="Times New Roman"/>
          <w:sz w:val="24"/>
          <w:szCs w:val="24"/>
        </w:rPr>
        <w:t xml:space="preserve">Captex 355 and </w:t>
      </w:r>
      <w:r>
        <w:rPr>
          <w:rFonts w:ascii="Times New Roman" w:hAnsi="Times New Roman"/>
          <w:sz w:val="24"/>
          <w:szCs w:val="24"/>
        </w:rPr>
        <w:t>Cremophor EL</w:t>
      </w:r>
      <w:r w:rsidR="009E2882">
        <w:rPr>
          <w:rFonts w:ascii="Times New Roman" w:hAnsi="Times New Roman"/>
          <w:sz w:val="24"/>
          <w:szCs w:val="24"/>
        </w:rPr>
        <w:t xml:space="preserve"> at 1:1 and 3</w:t>
      </w:r>
      <w:r w:rsidR="00C50FC9">
        <w:rPr>
          <w:rFonts w:ascii="Times New Roman" w:hAnsi="Times New Roman"/>
          <w:sz w:val="24"/>
          <w:szCs w:val="24"/>
        </w:rPr>
        <w:t>:</w:t>
      </w:r>
      <w:r w:rsidR="009E2882">
        <w:rPr>
          <w:rFonts w:ascii="Times New Roman" w:hAnsi="Times New Roman"/>
          <w:sz w:val="24"/>
          <w:szCs w:val="24"/>
        </w:rPr>
        <w:t>1</w:t>
      </w:r>
      <w:r w:rsidR="00C50FC9">
        <w:rPr>
          <w:rFonts w:ascii="Times New Roman" w:hAnsi="Times New Roman"/>
          <w:sz w:val="24"/>
          <w:szCs w:val="24"/>
        </w:rPr>
        <w:t xml:space="preserve"> w/w ratios</w:t>
      </w:r>
      <w:r>
        <w:rPr>
          <w:rFonts w:ascii="Times New Roman" w:hAnsi="Times New Roman"/>
          <w:sz w:val="24"/>
          <w:szCs w:val="24"/>
        </w:rPr>
        <w:t xml:space="preserve">) </w:t>
      </w:r>
      <w:r w:rsidR="00C50FC9">
        <w:rPr>
          <w:rFonts w:ascii="Times New Roman" w:hAnsi="Times New Roman"/>
          <w:sz w:val="24"/>
          <w:szCs w:val="24"/>
        </w:rPr>
        <w:t xml:space="preserve">according to the USP apparatus II at 50 RPM </w:t>
      </w:r>
      <w:r w:rsidRPr="00C73649">
        <w:rPr>
          <w:rFonts w:ascii="Times New Roman" w:hAnsi="Times New Roman"/>
          <w:sz w:val="24"/>
          <w:szCs w:val="24"/>
        </w:rPr>
        <w:t>using 250</w:t>
      </w:r>
      <w:r w:rsidR="00C50FC9">
        <w:rPr>
          <w:rFonts w:ascii="Times New Roman" w:hAnsi="Times New Roman"/>
          <w:sz w:val="24"/>
          <w:szCs w:val="24"/>
        </w:rPr>
        <w:t xml:space="preserve"> mL</w:t>
      </w:r>
      <w:r w:rsidRPr="00C73649">
        <w:rPr>
          <w:rFonts w:ascii="Times New Roman" w:hAnsi="Times New Roman"/>
          <w:sz w:val="24"/>
          <w:szCs w:val="24"/>
        </w:rPr>
        <w:t xml:space="preserve"> 0.01N HCL as dispersion medium at 37 ºC.</w:t>
      </w: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088765" cy="3079750"/>
            <wp:effectExtent l="19050" t="19050" r="26035" b="2540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088765" cy="3079750"/>
                    </a:xfrm>
                    <a:prstGeom prst="rect">
                      <a:avLst/>
                    </a:prstGeom>
                    <a:noFill/>
                    <a:ln w="12700">
                      <a:solidFill>
                        <a:schemeClr val="tx1"/>
                      </a:solidFill>
                      <a:miter lim="800000"/>
                      <a:headEnd/>
                      <a:tailEnd/>
                    </a:ln>
                  </pic:spPr>
                </pic:pic>
              </a:graphicData>
            </a:graphic>
          </wp:inline>
        </w:drawing>
      </w:r>
    </w:p>
    <w:p w:rsidR="00354FB6" w:rsidRPr="00C73649" w:rsidRDefault="00354FB6" w:rsidP="00354FB6">
      <w:pPr>
        <w:spacing w:line="480" w:lineRule="auto"/>
        <w:jc w:val="both"/>
        <w:rPr>
          <w:rFonts w:ascii="Times New Roman" w:hAnsi="Times New Roman"/>
          <w:sz w:val="24"/>
          <w:szCs w:val="24"/>
        </w:rPr>
      </w:pPr>
      <w:r>
        <w:rPr>
          <w:rFonts w:ascii="Times New Roman" w:hAnsi="Times New Roman"/>
          <w:b/>
          <w:sz w:val="24"/>
          <w:szCs w:val="24"/>
        </w:rPr>
        <w:t>Figure 7</w:t>
      </w:r>
      <w:r w:rsidRPr="00C73649">
        <w:rPr>
          <w:rFonts w:ascii="Times New Roman" w:hAnsi="Times New Roman"/>
          <w:b/>
          <w:sz w:val="24"/>
          <w:szCs w:val="24"/>
        </w:rPr>
        <w:t xml:space="preserve"> </w:t>
      </w:r>
      <w:r w:rsidR="00DF5B5B" w:rsidRPr="00C73649">
        <w:rPr>
          <w:rFonts w:ascii="Times New Roman" w:hAnsi="Times New Roman"/>
          <w:sz w:val="24"/>
          <w:szCs w:val="24"/>
        </w:rPr>
        <w:t>Dispersi</w:t>
      </w:r>
      <w:r w:rsidR="00DF5B5B">
        <w:rPr>
          <w:rFonts w:ascii="Times New Roman" w:hAnsi="Times New Roman"/>
          <w:sz w:val="24"/>
          <w:szCs w:val="24"/>
        </w:rPr>
        <w:t>on profiles of solid formulations (hard gelatin capsule) containing 50% w/w of</w:t>
      </w:r>
      <w:r w:rsidR="00DF5B5B" w:rsidRPr="00C50FC9">
        <w:rPr>
          <w:rFonts w:ascii="Times New Roman" w:hAnsi="Times New Roman"/>
          <w:sz w:val="24"/>
          <w:szCs w:val="24"/>
        </w:rPr>
        <w:t xml:space="preserve"> </w:t>
      </w:r>
      <w:r w:rsidR="00DF5B5B">
        <w:rPr>
          <w:rFonts w:ascii="Times New Roman" w:hAnsi="Times New Roman"/>
          <w:sz w:val="24"/>
          <w:szCs w:val="24"/>
        </w:rPr>
        <w:t xml:space="preserve">Gelucire 44/14 and 50% w/w of </w:t>
      </w:r>
      <w:r w:rsidR="00DF5B5B" w:rsidRPr="00C73649">
        <w:rPr>
          <w:rFonts w:ascii="Times New Roman" w:hAnsi="Times New Roman"/>
          <w:sz w:val="24"/>
          <w:szCs w:val="24"/>
        </w:rPr>
        <w:t xml:space="preserve">liquid </w:t>
      </w:r>
      <w:r w:rsidR="00DF5B5B">
        <w:rPr>
          <w:rFonts w:ascii="Times New Roman" w:hAnsi="Times New Roman"/>
          <w:sz w:val="24"/>
          <w:szCs w:val="24"/>
        </w:rPr>
        <w:t xml:space="preserve">lipid-surfactant </w:t>
      </w:r>
      <w:r w:rsidR="00DF5B5B" w:rsidRPr="00C73649">
        <w:rPr>
          <w:rFonts w:ascii="Times New Roman" w:hAnsi="Times New Roman"/>
          <w:sz w:val="24"/>
          <w:szCs w:val="24"/>
        </w:rPr>
        <w:t>mixture</w:t>
      </w:r>
      <w:r w:rsidR="00DF5B5B">
        <w:rPr>
          <w:rFonts w:ascii="Times New Roman" w:hAnsi="Times New Roman"/>
          <w:sz w:val="24"/>
          <w:szCs w:val="24"/>
        </w:rPr>
        <w:t>s</w:t>
      </w:r>
      <w:r w:rsidR="00DF5B5B" w:rsidRPr="00C73649">
        <w:rPr>
          <w:rFonts w:ascii="Times New Roman" w:hAnsi="Times New Roman"/>
          <w:sz w:val="24"/>
          <w:szCs w:val="24"/>
        </w:rPr>
        <w:t xml:space="preserve"> (</w:t>
      </w:r>
      <w:r w:rsidR="00DF5B5B">
        <w:rPr>
          <w:rFonts w:ascii="Times New Roman" w:hAnsi="Times New Roman"/>
          <w:sz w:val="24"/>
          <w:szCs w:val="24"/>
        </w:rPr>
        <w:t xml:space="preserve">Captex 355 and Cremophor EL at 1:1 and 3:1 w/w ratios) according to the USP apparatus II at 50 RPM </w:t>
      </w:r>
      <w:r w:rsidR="00DF5B5B" w:rsidRPr="00C73649">
        <w:rPr>
          <w:rFonts w:ascii="Times New Roman" w:hAnsi="Times New Roman"/>
          <w:sz w:val="24"/>
          <w:szCs w:val="24"/>
        </w:rPr>
        <w:t>using 250</w:t>
      </w:r>
      <w:r w:rsidR="00DF5B5B">
        <w:rPr>
          <w:rFonts w:ascii="Times New Roman" w:hAnsi="Times New Roman"/>
          <w:sz w:val="24"/>
          <w:szCs w:val="24"/>
        </w:rPr>
        <w:t xml:space="preserve"> mL</w:t>
      </w:r>
      <w:r w:rsidR="00DF5B5B" w:rsidRPr="00C73649">
        <w:rPr>
          <w:rFonts w:ascii="Times New Roman" w:hAnsi="Times New Roman"/>
          <w:sz w:val="24"/>
          <w:szCs w:val="24"/>
        </w:rPr>
        <w:t xml:space="preserve"> 0.01N HCL as dispersion medium at 37 ºC.</w:t>
      </w: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34710" cy="2441575"/>
            <wp:effectExtent l="19050" t="19050" r="27940" b="1587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34710" cy="2441575"/>
                    </a:xfrm>
                    <a:prstGeom prst="rect">
                      <a:avLst/>
                    </a:prstGeom>
                    <a:noFill/>
                    <a:ln w="12700">
                      <a:solidFill>
                        <a:schemeClr val="tx1"/>
                      </a:solidFill>
                      <a:miter lim="800000"/>
                      <a:headEnd/>
                      <a:tailEnd/>
                    </a:ln>
                  </pic:spPr>
                </pic:pic>
              </a:graphicData>
            </a:graphic>
          </wp:inline>
        </w:drawing>
      </w:r>
    </w:p>
    <w:p w:rsidR="00354FB6" w:rsidRDefault="00354FB6" w:rsidP="00354FB6">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Figure 8</w:t>
      </w:r>
      <w:r w:rsidRPr="00C73649">
        <w:rPr>
          <w:rFonts w:ascii="Times New Roman" w:hAnsi="Times New Roman"/>
          <w:b/>
          <w:sz w:val="24"/>
          <w:szCs w:val="24"/>
        </w:rPr>
        <w:t xml:space="preserve"> </w:t>
      </w:r>
      <w:r w:rsidR="006E635E">
        <w:rPr>
          <w:rFonts w:ascii="Times New Roman" w:hAnsi="Times New Roman"/>
          <w:sz w:val="24"/>
          <w:szCs w:val="24"/>
        </w:rPr>
        <w:t>The a</w:t>
      </w:r>
      <w:r w:rsidR="00DF5B5B">
        <w:rPr>
          <w:rFonts w:ascii="Times New Roman" w:hAnsi="Times New Roman"/>
          <w:sz w:val="24"/>
          <w:szCs w:val="24"/>
        </w:rPr>
        <w:t xml:space="preserve">verage particle sizes of emulsion globules produced by (A) </w:t>
      </w:r>
      <w:r w:rsidR="006E635E">
        <w:rPr>
          <w:rFonts w:ascii="Times New Roman" w:hAnsi="Times New Roman"/>
          <w:sz w:val="24"/>
          <w:szCs w:val="24"/>
        </w:rPr>
        <w:t xml:space="preserve">the </w:t>
      </w:r>
      <w:r w:rsidR="00DF5B5B">
        <w:rPr>
          <w:rFonts w:ascii="Times New Roman" w:hAnsi="Times New Roman"/>
          <w:sz w:val="24"/>
          <w:szCs w:val="24"/>
        </w:rPr>
        <w:t xml:space="preserve">1:1 w/w mixture of Captex 355 and Cremophor EL and (B) </w:t>
      </w:r>
      <w:r w:rsidR="006E635E">
        <w:rPr>
          <w:rFonts w:ascii="Times New Roman" w:hAnsi="Times New Roman"/>
          <w:sz w:val="24"/>
          <w:szCs w:val="24"/>
        </w:rPr>
        <w:t xml:space="preserve">the </w:t>
      </w:r>
      <w:r w:rsidR="00DF5B5B">
        <w:rPr>
          <w:rFonts w:ascii="Times New Roman" w:hAnsi="Times New Roman"/>
          <w:sz w:val="24"/>
          <w:szCs w:val="24"/>
        </w:rPr>
        <w:t>3:1 w/</w:t>
      </w:r>
      <w:r w:rsidR="009E2882">
        <w:rPr>
          <w:rFonts w:ascii="Times New Roman" w:hAnsi="Times New Roman"/>
          <w:sz w:val="24"/>
          <w:szCs w:val="24"/>
        </w:rPr>
        <w:t>w</w:t>
      </w:r>
      <w:r w:rsidR="00DF5B5B">
        <w:rPr>
          <w:rFonts w:ascii="Times New Roman" w:hAnsi="Times New Roman"/>
          <w:sz w:val="24"/>
          <w:szCs w:val="24"/>
        </w:rPr>
        <w:t xml:space="preserve"> mixture of Captex 355 and Cremophor EL as a function of time, when both mixtures were </w:t>
      </w:r>
      <w:r w:rsidR="006E635E">
        <w:rPr>
          <w:rFonts w:ascii="Times New Roman" w:hAnsi="Times New Roman"/>
          <w:sz w:val="24"/>
          <w:szCs w:val="24"/>
        </w:rPr>
        <w:t xml:space="preserve">converted to solid systems using Acconon C-44 as the solidifying agent (50:50 w/w of liquid to Acconon C-44). Key: </w:t>
      </w:r>
      <w:r w:rsidR="00407C06">
        <w:rPr>
          <w:rFonts w:ascii="Times New Roman" w:hAnsi="Times New Roman"/>
          <w:sz w:val="24"/>
          <w:szCs w:val="24"/>
        </w:rPr>
        <w:t xml:space="preserve">(a) </w:t>
      </w:r>
      <w:r w:rsidR="006E635E">
        <w:rPr>
          <w:rFonts w:ascii="Times New Roman" w:hAnsi="Times New Roman"/>
          <w:sz w:val="24"/>
          <w:szCs w:val="24"/>
        </w:rPr>
        <w:t>without drug, (b) with drug, (c) without drug and (d) with drug.</w:t>
      </w:r>
    </w:p>
    <w:p w:rsidR="006E635E" w:rsidRDefault="006E635E" w:rsidP="00354FB6">
      <w:pPr>
        <w:autoSpaceDE w:val="0"/>
        <w:autoSpaceDN w:val="0"/>
        <w:adjustRightInd w:val="0"/>
        <w:spacing w:after="0" w:line="480" w:lineRule="auto"/>
        <w:jc w:val="both"/>
        <w:rPr>
          <w:rFonts w:ascii="Times New Roman" w:hAnsi="Times New Roman"/>
          <w:sz w:val="24"/>
          <w:szCs w:val="24"/>
        </w:rPr>
      </w:pPr>
    </w:p>
    <w:p w:rsidR="00354FB6"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2380615"/>
            <wp:effectExtent l="19050" t="19050" r="19050" b="1968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43600" cy="2380615"/>
                    </a:xfrm>
                    <a:prstGeom prst="rect">
                      <a:avLst/>
                    </a:prstGeom>
                    <a:noFill/>
                    <a:ln w="12700">
                      <a:solidFill>
                        <a:schemeClr val="tx1"/>
                      </a:solidFill>
                      <a:miter lim="800000"/>
                      <a:headEnd/>
                      <a:tailEnd/>
                    </a:ln>
                  </pic:spPr>
                </pic:pic>
              </a:graphicData>
            </a:graphic>
          </wp:inline>
        </w:drawing>
      </w:r>
    </w:p>
    <w:p w:rsidR="006E635E" w:rsidRPr="00DF5B5B" w:rsidRDefault="00354FB6" w:rsidP="006E635E">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Figure 9</w:t>
      </w:r>
      <w:r w:rsidRPr="00C73649">
        <w:rPr>
          <w:rFonts w:ascii="Times New Roman" w:hAnsi="Times New Roman"/>
          <w:b/>
          <w:sz w:val="24"/>
          <w:szCs w:val="24"/>
        </w:rPr>
        <w:t xml:space="preserve"> </w:t>
      </w:r>
      <w:r w:rsidR="006E635E">
        <w:rPr>
          <w:rFonts w:ascii="Times New Roman" w:hAnsi="Times New Roman"/>
          <w:sz w:val="24"/>
          <w:szCs w:val="24"/>
        </w:rPr>
        <w:t>The average particle sizes of emulsion globules produced by (A) the 1:1 w/w mixture of Captex 355 and Cremophor EL and (B) the 3:1 w/</w:t>
      </w:r>
      <w:r w:rsidR="009E2882">
        <w:rPr>
          <w:rFonts w:ascii="Times New Roman" w:hAnsi="Times New Roman"/>
          <w:sz w:val="24"/>
          <w:szCs w:val="24"/>
        </w:rPr>
        <w:t>w</w:t>
      </w:r>
      <w:r w:rsidR="006E635E">
        <w:rPr>
          <w:rFonts w:ascii="Times New Roman" w:hAnsi="Times New Roman"/>
          <w:sz w:val="24"/>
          <w:szCs w:val="24"/>
        </w:rPr>
        <w:t xml:space="preserve"> mixture of Captex 355 and Cremophor EL as a function of time, when both mixtures were converted to solid systems using Gelucire 44/14 as the solidifying agent (50:50 w/w of liquid to Gelucire 44/14). Key: (a) without drug, (b) with drug, (c) without drug and (d) with drug.</w:t>
      </w:r>
    </w:p>
    <w:p w:rsidR="00354FB6" w:rsidRDefault="00354FB6" w:rsidP="00584269">
      <w:pPr>
        <w:autoSpaceDE w:val="0"/>
        <w:autoSpaceDN w:val="0"/>
        <w:adjustRightInd w:val="0"/>
        <w:spacing w:after="0" w:line="480" w:lineRule="auto"/>
        <w:jc w:val="both"/>
        <w:rPr>
          <w:rFonts w:ascii="Times New Roman" w:hAnsi="Times New Roman"/>
          <w:sz w:val="24"/>
          <w:szCs w:val="24"/>
        </w:rPr>
      </w:pPr>
    </w:p>
    <w:p w:rsidR="00354FB6" w:rsidRPr="00C73649" w:rsidRDefault="00354FB6" w:rsidP="00354FB6">
      <w:pPr>
        <w:spacing w:line="480" w:lineRule="auto"/>
        <w:jc w:val="both"/>
        <w:rPr>
          <w:rFonts w:ascii="Times New Roman" w:hAnsi="Times New Roman"/>
          <w:sz w:val="24"/>
          <w:szCs w:val="24"/>
        </w:rPr>
      </w:pPr>
    </w:p>
    <w:p w:rsidR="00354FB6" w:rsidRPr="00C73649" w:rsidRDefault="00354FB6" w:rsidP="00354FB6">
      <w:pPr>
        <w:rPr>
          <w:rFonts w:ascii="Times New Roman" w:hAnsi="Times New Roman"/>
          <w:sz w:val="24"/>
          <w:szCs w:val="24"/>
        </w:rPr>
      </w:pPr>
    </w:p>
    <w:p w:rsidR="00354FB6" w:rsidRDefault="00354FB6" w:rsidP="00354FB6"/>
    <w:p w:rsidR="00DE09A7" w:rsidRPr="00354FB6" w:rsidRDefault="00DE09A7" w:rsidP="00354FB6"/>
    <w:sectPr w:rsidR="00DE09A7" w:rsidRPr="00354FB6" w:rsidSect="00FA1C37">
      <w:footerReference w:type="default" r:id="rId1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B9E" w:rsidRDefault="00577B9E" w:rsidP="004956FC">
      <w:pPr>
        <w:spacing w:after="0" w:line="240" w:lineRule="auto"/>
      </w:pPr>
      <w:r>
        <w:separator/>
      </w:r>
    </w:p>
  </w:endnote>
  <w:endnote w:type="continuationSeparator" w:id="1">
    <w:p w:rsidR="00577B9E" w:rsidRDefault="00577B9E" w:rsidP="004956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2391"/>
      <w:docPartObj>
        <w:docPartGallery w:val="Page Numbers (Bottom of Page)"/>
        <w:docPartUnique/>
      </w:docPartObj>
    </w:sdtPr>
    <w:sdtContent>
      <w:p w:rsidR="00320DBF" w:rsidRDefault="00926B3A">
        <w:pPr>
          <w:pStyle w:val="Footer"/>
          <w:jc w:val="center"/>
        </w:pPr>
        <w:fldSimple w:instr=" PAGE   \* MERGEFORMAT ">
          <w:r w:rsidR="00ED62A8">
            <w:rPr>
              <w:noProof/>
            </w:rPr>
            <w:t>31</w:t>
          </w:r>
        </w:fldSimple>
      </w:p>
    </w:sdtContent>
  </w:sdt>
  <w:p w:rsidR="00320DBF" w:rsidRDefault="00320D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B9E" w:rsidRDefault="00577B9E" w:rsidP="004956FC">
      <w:pPr>
        <w:spacing w:after="0" w:line="240" w:lineRule="auto"/>
      </w:pPr>
      <w:r>
        <w:separator/>
      </w:r>
    </w:p>
  </w:footnote>
  <w:footnote w:type="continuationSeparator" w:id="1">
    <w:p w:rsidR="00577B9E" w:rsidRDefault="00577B9E" w:rsidP="004956F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numFmt w:val="decimal"/>
    <w:endnote w:id="0"/>
    <w:endnote w:id="1"/>
  </w:endnotePr>
  <w:compat/>
  <w:rsids>
    <w:rsidRoot w:val="004956FC"/>
    <w:rsid w:val="000268CF"/>
    <w:rsid w:val="00026C42"/>
    <w:rsid w:val="000428F1"/>
    <w:rsid w:val="000654DC"/>
    <w:rsid w:val="0007360B"/>
    <w:rsid w:val="00103D20"/>
    <w:rsid w:val="00110404"/>
    <w:rsid w:val="0014738E"/>
    <w:rsid w:val="00222689"/>
    <w:rsid w:val="002409B4"/>
    <w:rsid w:val="0027175C"/>
    <w:rsid w:val="0030180F"/>
    <w:rsid w:val="00315176"/>
    <w:rsid w:val="00320DBF"/>
    <w:rsid w:val="00325850"/>
    <w:rsid w:val="00354FB6"/>
    <w:rsid w:val="0037767D"/>
    <w:rsid w:val="003E3185"/>
    <w:rsid w:val="00407C06"/>
    <w:rsid w:val="0041090D"/>
    <w:rsid w:val="00413251"/>
    <w:rsid w:val="00474EEE"/>
    <w:rsid w:val="004956FC"/>
    <w:rsid w:val="004C34E6"/>
    <w:rsid w:val="004D4968"/>
    <w:rsid w:val="005237CA"/>
    <w:rsid w:val="00562FB2"/>
    <w:rsid w:val="005710FE"/>
    <w:rsid w:val="00577B9E"/>
    <w:rsid w:val="00584269"/>
    <w:rsid w:val="005D52CD"/>
    <w:rsid w:val="00607D9E"/>
    <w:rsid w:val="006106AA"/>
    <w:rsid w:val="0063233D"/>
    <w:rsid w:val="00635FCF"/>
    <w:rsid w:val="00653B36"/>
    <w:rsid w:val="006C3D02"/>
    <w:rsid w:val="006C50B4"/>
    <w:rsid w:val="006E635E"/>
    <w:rsid w:val="00704E21"/>
    <w:rsid w:val="007118CD"/>
    <w:rsid w:val="00752330"/>
    <w:rsid w:val="007848E8"/>
    <w:rsid w:val="007962C6"/>
    <w:rsid w:val="007B2EBE"/>
    <w:rsid w:val="007E3D10"/>
    <w:rsid w:val="007F49FC"/>
    <w:rsid w:val="00813D43"/>
    <w:rsid w:val="008D48BA"/>
    <w:rsid w:val="008F3B09"/>
    <w:rsid w:val="00917E1D"/>
    <w:rsid w:val="00926B3A"/>
    <w:rsid w:val="009921C5"/>
    <w:rsid w:val="009B174C"/>
    <w:rsid w:val="009D7EBD"/>
    <w:rsid w:val="009E0E57"/>
    <w:rsid w:val="009E2882"/>
    <w:rsid w:val="009E3D39"/>
    <w:rsid w:val="00A35051"/>
    <w:rsid w:val="00A8027C"/>
    <w:rsid w:val="00AF347E"/>
    <w:rsid w:val="00B00B45"/>
    <w:rsid w:val="00B242F5"/>
    <w:rsid w:val="00B60098"/>
    <w:rsid w:val="00B80683"/>
    <w:rsid w:val="00B84A4E"/>
    <w:rsid w:val="00BA5111"/>
    <w:rsid w:val="00BA79AD"/>
    <w:rsid w:val="00BB372B"/>
    <w:rsid w:val="00BD136F"/>
    <w:rsid w:val="00BE60A4"/>
    <w:rsid w:val="00BE684C"/>
    <w:rsid w:val="00BF24F6"/>
    <w:rsid w:val="00C00A14"/>
    <w:rsid w:val="00C21CE5"/>
    <w:rsid w:val="00C226AB"/>
    <w:rsid w:val="00C50FC9"/>
    <w:rsid w:val="00C65D94"/>
    <w:rsid w:val="00C707EE"/>
    <w:rsid w:val="00C8798E"/>
    <w:rsid w:val="00C97C0A"/>
    <w:rsid w:val="00CA1766"/>
    <w:rsid w:val="00CA3E06"/>
    <w:rsid w:val="00CA580D"/>
    <w:rsid w:val="00D048F6"/>
    <w:rsid w:val="00D663FE"/>
    <w:rsid w:val="00DB37CA"/>
    <w:rsid w:val="00DC111F"/>
    <w:rsid w:val="00DE09A7"/>
    <w:rsid w:val="00DF5615"/>
    <w:rsid w:val="00DF5B5B"/>
    <w:rsid w:val="00E7516A"/>
    <w:rsid w:val="00EB43D5"/>
    <w:rsid w:val="00EC7B48"/>
    <w:rsid w:val="00ED62A8"/>
    <w:rsid w:val="00F3041B"/>
    <w:rsid w:val="00F4510F"/>
    <w:rsid w:val="00F83C18"/>
    <w:rsid w:val="00FA1C37"/>
    <w:rsid w:val="00FF54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6F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4956FC"/>
  </w:style>
  <w:style w:type="character" w:styleId="Hyperlink">
    <w:name w:val="Hyperlink"/>
    <w:basedOn w:val="DefaultParagraphFont"/>
    <w:uiPriority w:val="99"/>
    <w:unhideWhenUsed/>
    <w:rsid w:val="004956FC"/>
    <w:rPr>
      <w:color w:val="0000FF"/>
      <w:u w:val="single"/>
    </w:rPr>
  </w:style>
  <w:style w:type="paragraph" w:styleId="NormalWeb">
    <w:name w:val="Normal (Web)"/>
    <w:basedOn w:val="Normal"/>
    <w:uiPriority w:val="99"/>
    <w:unhideWhenUsed/>
    <w:rsid w:val="004956FC"/>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semiHidden/>
    <w:unhideWhenUsed/>
    <w:rsid w:val="004956FC"/>
    <w:rPr>
      <w:sz w:val="20"/>
      <w:szCs w:val="20"/>
    </w:rPr>
  </w:style>
  <w:style w:type="character" w:customStyle="1" w:styleId="EndnoteTextChar">
    <w:name w:val="Endnote Text Char"/>
    <w:basedOn w:val="DefaultParagraphFont"/>
    <w:link w:val="EndnoteText"/>
    <w:semiHidden/>
    <w:rsid w:val="004956FC"/>
    <w:rPr>
      <w:rFonts w:ascii="Calibri" w:eastAsia="Calibri" w:hAnsi="Calibri" w:cs="Times New Roman"/>
      <w:sz w:val="20"/>
      <w:szCs w:val="20"/>
    </w:rPr>
  </w:style>
  <w:style w:type="character" w:styleId="EndnoteReference">
    <w:name w:val="endnote reference"/>
    <w:basedOn w:val="DefaultParagraphFont"/>
    <w:uiPriority w:val="99"/>
    <w:unhideWhenUsed/>
    <w:rsid w:val="004956FC"/>
    <w:rPr>
      <w:vertAlign w:val="superscript"/>
    </w:rPr>
  </w:style>
  <w:style w:type="paragraph" w:styleId="BalloonText">
    <w:name w:val="Balloon Text"/>
    <w:basedOn w:val="Normal"/>
    <w:link w:val="BalloonTextChar"/>
    <w:uiPriority w:val="99"/>
    <w:semiHidden/>
    <w:unhideWhenUsed/>
    <w:rsid w:val="00495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FC"/>
    <w:rPr>
      <w:rFonts w:ascii="Tahoma" w:eastAsia="Calibri" w:hAnsi="Tahoma" w:cs="Tahoma"/>
      <w:sz w:val="16"/>
      <w:szCs w:val="16"/>
    </w:rPr>
  </w:style>
  <w:style w:type="paragraph" w:styleId="Header">
    <w:name w:val="header"/>
    <w:basedOn w:val="Normal"/>
    <w:link w:val="HeaderChar"/>
    <w:uiPriority w:val="99"/>
    <w:semiHidden/>
    <w:unhideWhenUsed/>
    <w:rsid w:val="00026C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6C42"/>
    <w:rPr>
      <w:rFonts w:ascii="Calibri" w:eastAsia="Calibri" w:hAnsi="Calibri" w:cs="Times New Roman"/>
    </w:rPr>
  </w:style>
  <w:style w:type="paragraph" w:styleId="Footer">
    <w:name w:val="footer"/>
    <w:basedOn w:val="Normal"/>
    <w:link w:val="FooterChar"/>
    <w:uiPriority w:val="99"/>
    <w:unhideWhenUsed/>
    <w:rsid w:val="00026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C42"/>
    <w:rPr>
      <w:rFonts w:ascii="Calibri" w:eastAsia="Calibri" w:hAnsi="Calibri" w:cs="Times New Roman"/>
    </w:rPr>
  </w:style>
  <w:style w:type="character" w:customStyle="1" w:styleId="apple-converted-space">
    <w:name w:val="apple-converted-space"/>
    <w:basedOn w:val="DefaultParagraphFont"/>
    <w:rsid w:val="009E0E57"/>
  </w:style>
  <w:style w:type="character" w:customStyle="1" w:styleId="slug-vol">
    <w:name w:val="slug-vol"/>
    <w:basedOn w:val="DefaultParagraphFont"/>
    <w:rsid w:val="009E0E57"/>
  </w:style>
  <w:style w:type="character" w:customStyle="1" w:styleId="slug-pages">
    <w:name w:val="slug-pages"/>
    <w:basedOn w:val="DefaultParagraphFont"/>
    <w:rsid w:val="009E0E57"/>
  </w:style>
  <w:style w:type="character" w:styleId="CommentReference">
    <w:name w:val="annotation reference"/>
    <w:basedOn w:val="DefaultParagraphFont"/>
    <w:uiPriority w:val="99"/>
    <w:semiHidden/>
    <w:unhideWhenUsed/>
    <w:rsid w:val="009E0E57"/>
    <w:rPr>
      <w:sz w:val="16"/>
      <w:szCs w:val="16"/>
    </w:rPr>
  </w:style>
  <w:style w:type="paragraph" w:styleId="CommentText">
    <w:name w:val="annotation text"/>
    <w:basedOn w:val="Normal"/>
    <w:link w:val="CommentTextChar"/>
    <w:uiPriority w:val="99"/>
    <w:semiHidden/>
    <w:unhideWhenUsed/>
    <w:rsid w:val="009E0E57"/>
    <w:pPr>
      <w:spacing w:line="240" w:lineRule="auto"/>
    </w:pPr>
    <w:rPr>
      <w:sz w:val="20"/>
      <w:szCs w:val="20"/>
    </w:rPr>
  </w:style>
  <w:style w:type="character" w:customStyle="1" w:styleId="CommentTextChar">
    <w:name w:val="Comment Text Char"/>
    <w:basedOn w:val="DefaultParagraphFont"/>
    <w:link w:val="CommentText"/>
    <w:uiPriority w:val="99"/>
    <w:semiHidden/>
    <w:rsid w:val="009E0E57"/>
    <w:rPr>
      <w:rFonts w:ascii="Calibri" w:eastAsia="Calibri" w:hAnsi="Calibri" w:cs="Times New Roman"/>
      <w:sz w:val="20"/>
      <w:szCs w:val="20"/>
    </w:rPr>
  </w:style>
  <w:style w:type="paragraph" w:styleId="ListParagraph">
    <w:name w:val="List Paragraph"/>
    <w:basedOn w:val="Normal"/>
    <w:uiPriority w:val="34"/>
    <w:qFormat/>
    <w:rsid w:val="00DB37CA"/>
    <w:pPr>
      <w:spacing w:after="0" w:line="360" w:lineRule="auto"/>
      <w:ind w:left="720"/>
      <w:contextualSpacing/>
    </w:pPr>
  </w:style>
  <w:style w:type="paragraph" w:styleId="CommentSubject">
    <w:name w:val="annotation subject"/>
    <w:basedOn w:val="CommentText"/>
    <w:next w:val="CommentText"/>
    <w:link w:val="CommentSubjectChar"/>
    <w:uiPriority w:val="99"/>
    <w:semiHidden/>
    <w:unhideWhenUsed/>
    <w:rsid w:val="00222689"/>
    <w:rPr>
      <w:b/>
      <w:bCs/>
    </w:rPr>
  </w:style>
  <w:style w:type="character" w:customStyle="1" w:styleId="CommentSubjectChar">
    <w:name w:val="Comment Subject Char"/>
    <w:basedOn w:val="CommentTextChar"/>
    <w:link w:val="CommentSubject"/>
    <w:uiPriority w:val="99"/>
    <w:semiHidden/>
    <w:rsid w:val="00222689"/>
    <w:rPr>
      <w:b/>
      <w:bCs/>
    </w:rPr>
  </w:style>
</w:styles>
</file>

<file path=word/webSettings.xml><?xml version="1.0" encoding="utf-8"?>
<w:webSettings xmlns:r="http://schemas.openxmlformats.org/officeDocument/2006/relationships" xmlns:w="http://schemas.openxmlformats.org/wordprocessingml/2006/main">
  <w:divs>
    <w:div w:id="27606190">
      <w:bodyDiv w:val="1"/>
      <w:marLeft w:val="0"/>
      <w:marRight w:val="0"/>
      <w:marTop w:val="0"/>
      <w:marBottom w:val="0"/>
      <w:divBdr>
        <w:top w:val="none" w:sz="0" w:space="0" w:color="auto"/>
        <w:left w:val="none" w:sz="0" w:space="0" w:color="auto"/>
        <w:bottom w:val="none" w:sz="0" w:space="0" w:color="auto"/>
        <w:right w:val="none" w:sz="0" w:space="0" w:color="auto"/>
      </w:divBdr>
    </w:div>
    <w:div w:id="29846186">
      <w:bodyDiv w:val="1"/>
      <w:marLeft w:val="0"/>
      <w:marRight w:val="0"/>
      <w:marTop w:val="0"/>
      <w:marBottom w:val="0"/>
      <w:divBdr>
        <w:top w:val="none" w:sz="0" w:space="0" w:color="auto"/>
        <w:left w:val="none" w:sz="0" w:space="0" w:color="auto"/>
        <w:bottom w:val="none" w:sz="0" w:space="0" w:color="auto"/>
        <w:right w:val="none" w:sz="0" w:space="0" w:color="auto"/>
      </w:divBdr>
    </w:div>
    <w:div w:id="89551146">
      <w:bodyDiv w:val="1"/>
      <w:marLeft w:val="0"/>
      <w:marRight w:val="0"/>
      <w:marTop w:val="0"/>
      <w:marBottom w:val="0"/>
      <w:divBdr>
        <w:top w:val="none" w:sz="0" w:space="0" w:color="auto"/>
        <w:left w:val="none" w:sz="0" w:space="0" w:color="auto"/>
        <w:bottom w:val="none" w:sz="0" w:space="0" w:color="auto"/>
        <w:right w:val="none" w:sz="0" w:space="0" w:color="auto"/>
      </w:divBdr>
    </w:div>
    <w:div w:id="120811508">
      <w:bodyDiv w:val="1"/>
      <w:marLeft w:val="0"/>
      <w:marRight w:val="0"/>
      <w:marTop w:val="0"/>
      <w:marBottom w:val="0"/>
      <w:divBdr>
        <w:top w:val="none" w:sz="0" w:space="0" w:color="auto"/>
        <w:left w:val="none" w:sz="0" w:space="0" w:color="auto"/>
        <w:bottom w:val="none" w:sz="0" w:space="0" w:color="auto"/>
        <w:right w:val="none" w:sz="0" w:space="0" w:color="auto"/>
      </w:divBdr>
    </w:div>
    <w:div w:id="162476750">
      <w:bodyDiv w:val="1"/>
      <w:marLeft w:val="0"/>
      <w:marRight w:val="0"/>
      <w:marTop w:val="0"/>
      <w:marBottom w:val="0"/>
      <w:divBdr>
        <w:top w:val="none" w:sz="0" w:space="0" w:color="auto"/>
        <w:left w:val="none" w:sz="0" w:space="0" w:color="auto"/>
        <w:bottom w:val="none" w:sz="0" w:space="0" w:color="auto"/>
        <w:right w:val="none" w:sz="0" w:space="0" w:color="auto"/>
      </w:divBdr>
    </w:div>
    <w:div w:id="245726413">
      <w:bodyDiv w:val="1"/>
      <w:marLeft w:val="0"/>
      <w:marRight w:val="0"/>
      <w:marTop w:val="0"/>
      <w:marBottom w:val="0"/>
      <w:divBdr>
        <w:top w:val="none" w:sz="0" w:space="0" w:color="auto"/>
        <w:left w:val="none" w:sz="0" w:space="0" w:color="auto"/>
        <w:bottom w:val="none" w:sz="0" w:space="0" w:color="auto"/>
        <w:right w:val="none" w:sz="0" w:space="0" w:color="auto"/>
      </w:divBdr>
    </w:div>
    <w:div w:id="257521315">
      <w:bodyDiv w:val="1"/>
      <w:marLeft w:val="0"/>
      <w:marRight w:val="0"/>
      <w:marTop w:val="0"/>
      <w:marBottom w:val="0"/>
      <w:divBdr>
        <w:top w:val="none" w:sz="0" w:space="0" w:color="auto"/>
        <w:left w:val="none" w:sz="0" w:space="0" w:color="auto"/>
        <w:bottom w:val="none" w:sz="0" w:space="0" w:color="auto"/>
        <w:right w:val="none" w:sz="0" w:space="0" w:color="auto"/>
      </w:divBdr>
    </w:div>
    <w:div w:id="458495972">
      <w:bodyDiv w:val="1"/>
      <w:marLeft w:val="0"/>
      <w:marRight w:val="0"/>
      <w:marTop w:val="0"/>
      <w:marBottom w:val="0"/>
      <w:divBdr>
        <w:top w:val="none" w:sz="0" w:space="0" w:color="auto"/>
        <w:left w:val="none" w:sz="0" w:space="0" w:color="auto"/>
        <w:bottom w:val="none" w:sz="0" w:space="0" w:color="auto"/>
        <w:right w:val="none" w:sz="0" w:space="0" w:color="auto"/>
      </w:divBdr>
    </w:div>
    <w:div w:id="476608438">
      <w:bodyDiv w:val="1"/>
      <w:marLeft w:val="0"/>
      <w:marRight w:val="0"/>
      <w:marTop w:val="0"/>
      <w:marBottom w:val="0"/>
      <w:divBdr>
        <w:top w:val="none" w:sz="0" w:space="0" w:color="auto"/>
        <w:left w:val="none" w:sz="0" w:space="0" w:color="auto"/>
        <w:bottom w:val="none" w:sz="0" w:space="0" w:color="auto"/>
        <w:right w:val="none" w:sz="0" w:space="0" w:color="auto"/>
      </w:divBdr>
    </w:div>
    <w:div w:id="576135897">
      <w:bodyDiv w:val="1"/>
      <w:marLeft w:val="0"/>
      <w:marRight w:val="0"/>
      <w:marTop w:val="0"/>
      <w:marBottom w:val="0"/>
      <w:divBdr>
        <w:top w:val="none" w:sz="0" w:space="0" w:color="auto"/>
        <w:left w:val="none" w:sz="0" w:space="0" w:color="auto"/>
        <w:bottom w:val="none" w:sz="0" w:space="0" w:color="auto"/>
        <w:right w:val="none" w:sz="0" w:space="0" w:color="auto"/>
      </w:divBdr>
    </w:div>
    <w:div w:id="612051513">
      <w:bodyDiv w:val="1"/>
      <w:marLeft w:val="0"/>
      <w:marRight w:val="0"/>
      <w:marTop w:val="0"/>
      <w:marBottom w:val="0"/>
      <w:divBdr>
        <w:top w:val="none" w:sz="0" w:space="0" w:color="auto"/>
        <w:left w:val="none" w:sz="0" w:space="0" w:color="auto"/>
        <w:bottom w:val="none" w:sz="0" w:space="0" w:color="auto"/>
        <w:right w:val="none" w:sz="0" w:space="0" w:color="auto"/>
      </w:divBdr>
    </w:div>
    <w:div w:id="681013290">
      <w:bodyDiv w:val="1"/>
      <w:marLeft w:val="0"/>
      <w:marRight w:val="0"/>
      <w:marTop w:val="0"/>
      <w:marBottom w:val="0"/>
      <w:divBdr>
        <w:top w:val="none" w:sz="0" w:space="0" w:color="auto"/>
        <w:left w:val="none" w:sz="0" w:space="0" w:color="auto"/>
        <w:bottom w:val="none" w:sz="0" w:space="0" w:color="auto"/>
        <w:right w:val="none" w:sz="0" w:space="0" w:color="auto"/>
      </w:divBdr>
    </w:div>
    <w:div w:id="698238135">
      <w:bodyDiv w:val="1"/>
      <w:marLeft w:val="0"/>
      <w:marRight w:val="0"/>
      <w:marTop w:val="0"/>
      <w:marBottom w:val="0"/>
      <w:divBdr>
        <w:top w:val="none" w:sz="0" w:space="0" w:color="auto"/>
        <w:left w:val="none" w:sz="0" w:space="0" w:color="auto"/>
        <w:bottom w:val="none" w:sz="0" w:space="0" w:color="auto"/>
        <w:right w:val="none" w:sz="0" w:space="0" w:color="auto"/>
      </w:divBdr>
    </w:div>
    <w:div w:id="720637470">
      <w:bodyDiv w:val="1"/>
      <w:marLeft w:val="0"/>
      <w:marRight w:val="0"/>
      <w:marTop w:val="0"/>
      <w:marBottom w:val="0"/>
      <w:divBdr>
        <w:top w:val="none" w:sz="0" w:space="0" w:color="auto"/>
        <w:left w:val="none" w:sz="0" w:space="0" w:color="auto"/>
        <w:bottom w:val="none" w:sz="0" w:space="0" w:color="auto"/>
        <w:right w:val="none" w:sz="0" w:space="0" w:color="auto"/>
      </w:divBdr>
    </w:div>
    <w:div w:id="750588392">
      <w:bodyDiv w:val="1"/>
      <w:marLeft w:val="0"/>
      <w:marRight w:val="0"/>
      <w:marTop w:val="0"/>
      <w:marBottom w:val="0"/>
      <w:divBdr>
        <w:top w:val="none" w:sz="0" w:space="0" w:color="auto"/>
        <w:left w:val="none" w:sz="0" w:space="0" w:color="auto"/>
        <w:bottom w:val="none" w:sz="0" w:space="0" w:color="auto"/>
        <w:right w:val="none" w:sz="0" w:space="0" w:color="auto"/>
      </w:divBdr>
    </w:div>
    <w:div w:id="767625042">
      <w:bodyDiv w:val="1"/>
      <w:marLeft w:val="0"/>
      <w:marRight w:val="0"/>
      <w:marTop w:val="0"/>
      <w:marBottom w:val="0"/>
      <w:divBdr>
        <w:top w:val="none" w:sz="0" w:space="0" w:color="auto"/>
        <w:left w:val="none" w:sz="0" w:space="0" w:color="auto"/>
        <w:bottom w:val="none" w:sz="0" w:space="0" w:color="auto"/>
        <w:right w:val="none" w:sz="0" w:space="0" w:color="auto"/>
      </w:divBdr>
    </w:div>
    <w:div w:id="813253097">
      <w:bodyDiv w:val="1"/>
      <w:marLeft w:val="0"/>
      <w:marRight w:val="0"/>
      <w:marTop w:val="0"/>
      <w:marBottom w:val="0"/>
      <w:divBdr>
        <w:top w:val="none" w:sz="0" w:space="0" w:color="auto"/>
        <w:left w:val="none" w:sz="0" w:space="0" w:color="auto"/>
        <w:bottom w:val="none" w:sz="0" w:space="0" w:color="auto"/>
        <w:right w:val="none" w:sz="0" w:space="0" w:color="auto"/>
      </w:divBdr>
    </w:div>
    <w:div w:id="874006431">
      <w:bodyDiv w:val="1"/>
      <w:marLeft w:val="0"/>
      <w:marRight w:val="0"/>
      <w:marTop w:val="0"/>
      <w:marBottom w:val="0"/>
      <w:divBdr>
        <w:top w:val="none" w:sz="0" w:space="0" w:color="auto"/>
        <w:left w:val="none" w:sz="0" w:space="0" w:color="auto"/>
        <w:bottom w:val="none" w:sz="0" w:space="0" w:color="auto"/>
        <w:right w:val="none" w:sz="0" w:space="0" w:color="auto"/>
      </w:divBdr>
    </w:div>
    <w:div w:id="885067249">
      <w:bodyDiv w:val="1"/>
      <w:marLeft w:val="0"/>
      <w:marRight w:val="0"/>
      <w:marTop w:val="0"/>
      <w:marBottom w:val="0"/>
      <w:divBdr>
        <w:top w:val="none" w:sz="0" w:space="0" w:color="auto"/>
        <w:left w:val="none" w:sz="0" w:space="0" w:color="auto"/>
        <w:bottom w:val="none" w:sz="0" w:space="0" w:color="auto"/>
        <w:right w:val="none" w:sz="0" w:space="0" w:color="auto"/>
      </w:divBdr>
    </w:div>
    <w:div w:id="897397620">
      <w:bodyDiv w:val="1"/>
      <w:marLeft w:val="0"/>
      <w:marRight w:val="0"/>
      <w:marTop w:val="0"/>
      <w:marBottom w:val="0"/>
      <w:divBdr>
        <w:top w:val="none" w:sz="0" w:space="0" w:color="auto"/>
        <w:left w:val="none" w:sz="0" w:space="0" w:color="auto"/>
        <w:bottom w:val="none" w:sz="0" w:space="0" w:color="auto"/>
        <w:right w:val="none" w:sz="0" w:space="0" w:color="auto"/>
      </w:divBdr>
    </w:div>
    <w:div w:id="929046604">
      <w:bodyDiv w:val="1"/>
      <w:marLeft w:val="0"/>
      <w:marRight w:val="0"/>
      <w:marTop w:val="0"/>
      <w:marBottom w:val="0"/>
      <w:divBdr>
        <w:top w:val="none" w:sz="0" w:space="0" w:color="auto"/>
        <w:left w:val="none" w:sz="0" w:space="0" w:color="auto"/>
        <w:bottom w:val="none" w:sz="0" w:space="0" w:color="auto"/>
        <w:right w:val="none" w:sz="0" w:space="0" w:color="auto"/>
      </w:divBdr>
    </w:div>
    <w:div w:id="966929465">
      <w:bodyDiv w:val="1"/>
      <w:marLeft w:val="0"/>
      <w:marRight w:val="0"/>
      <w:marTop w:val="0"/>
      <w:marBottom w:val="0"/>
      <w:divBdr>
        <w:top w:val="none" w:sz="0" w:space="0" w:color="auto"/>
        <w:left w:val="none" w:sz="0" w:space="0" w:color="auto"/>
        <w:bottom w:val="none" w:sz="0" w:space="0" w:color="auto"/>
        <w:right w:val="none" w:sz="0" w:space="0" w:color="auto"/>
      </w:divBdr>
    </w:div>
    <w:div w:id="1032800375">
      <w:bodyDiv w:val="1"/>
      <w:marLeft w:val="0"/>
      <w:marRight w:val="0"/>
      <w:marTop w:val="0"/>
      <w:marBottom w:val="0"/>
      <w:divBdr>
        <w:top w:val="none" w:sz="0" w:space="0" w:color="auto"/>
        <w:left w:val="none" w:sz="0" w:space="0" w:color="auto"/>
        <w:bottom w:val="none" w:sz="0" w:space="0" w:color="auto"/>
        <w:right w:val="none" w:sz="0" w:space="0" w:color="auto"/>
      </w:divBdr>
    </w:div>
    <w:div w:id="1049694824">
      <w:bodyDiv w:val="1"/>
      <w:marLeft w:val="0"/>
      <w:marRight w:val="0"/>
      <w:marTop w:val="0"/>
      <w:marBottom w:val="0"/>
      <w:divBdr>
        <w:top w:val="none" w:sz="0" w:space="0" w:color="auto"/>
        <w:left w:val="none" w:sz="0" w:space="0" w:color="auto"/>
        <w:bottom w:val="none" w:sz="0" w:space="0" w:color="auto"/>
        <w:right w:val="none" w:sz="0" w:space="0" w:color="auto"/>
      </w:divBdr>
    </w:div>
    <w:div w:id="1052580402">
      <w:bodyDiv w:val="1"/>
      <w:marLeft w:val="0"/>
      <w:marRight w:val="0"/>
      <w:marTop w:val="0"/>
      <w:marBottom w:val="0"/>
      <w:divBdr>
        <w:top w:val="none" w:sz="0" w:space="0" w:color="auto"/>
        <w:left w:val="none" w:sz="0" w:space="0" w:color="auto"/>
        <w:bottom w:val="none" w:sz="0" w:space="0" w:color="auto"/>
        <w:right w:val="none" w:sz="0" w:space="0" w:color="auto"/>
      </w:divBdr>
    </w:div>
    <w:div w:id="1101225518">
      <w:bodyDiv w:val="1"/>
      <w:marLeft w:val="0"/>
      <w:marRight w:val="0"/>
      <w:marTop w:val="0"/>
      <w:marBottom w:val="0"/>
      <w:divBdr>
        <w:top w:val="none" w:sz="0" w:space="0" w:color="auto"/>
        <w:left w:val="none" w:sz="0" w:space="0" w:color="auto"/>
        <w:bottom w:val="none" w:sz="0" w:space="0" w:color="auto"/>
        <w:right w:val="none" w:sz="0" w:space="0" w:color="auto"/>
      </w:divBdr>
    </w:div>
    <w:div w:id="1196505390">
      <w:bodyDiv w:val="1"/>
      <w:marLeft w:val="0"/>
      <w:marRight w:val="0"/>
      <w:marTop w:val="0"/>
      <w:marBottom w:val="0"/>
      <w:divBdr>
        <w:top w:val="none" w:sz="0" w:space="0" w:color="auto"/>
        <w:left w:val="none" w:sz="0" w:space="0" w:color="auto"/>
        <w:bottom w:val="none" w:sz="0" w:space="0" w:color="auto"/>
        <w:right w:val="none" w:sz="0" w:space="0" w:color="auto"/>
      </w:divBdr>
    </w:div>
    <w:div w:id="1243642833">
      <w:bodyDiv w:val="1"/>
      <w:marLeft w:val="0"/>
      <w:marRight w:val="0"/>
      <w:marTop w:val="0"/>
      <w:marBottom w:val="0"/>
      <w:divBdr>
        <w:top w:val="none" w:sz="0" w:space="0" w:color="auto"/>
        <w:left w:val="none" w:sz="0" w:space="0" w:color="auto"/>
        <w:bottom w:val="none" w:sz="0" w:space="0" w:color="auto"/>
        <w:right w:val="none" w:sz="0" w:space="0" w:color="auto"/>
      </w:divBdr>
    </w:div>
    <w:div w:id="1245604646">
      <w:bodyDiv w:val="1"/>
      <w:marLeft w:val="0"/>
      <w:marRight w:val="0"/>
      <w:marTop w:val="0"/>
      <w:marBottom w:val="0"/>
      <w:divBdr>
        <w:top w:val="none" w:sz="0" w:space="0" w:color="auto"/>
        <w:left w:val="none" w:sz="0" w:space="0" w:color="auto"/>
        <w:bottom w:val="none" w:sz="0" w:space="0" w:color="auto"/>
        <w:right w:val="none" w:sz="0" w:space="0" w:color="auto"/>
      </w:divBdr>
    </w:div>
    <w:div w:id="1436943652">
      <w:bodyDiv w:val="1"/>
      <w:marLeft w:val="0"/>
      <w:marRight w:val="0"/>
      <w:marTop w:val="0"/>
      <w:marBottom w:val="0"/>
      <w:divBdr>
        <w:top w:val="none" w:sz="0" w:space="0" w:color="auto"/>
        <w:left w:val="none" w:sz="0" w:space="0" w:color="auto"/>
        <w:bottom w:val="none" w:sz="0" w:space="0" w:color="auto"/>
        <w:right w:val="none" w:sz="0" w:space="0" w:color="auto"/>
      </w:divBdr>
    </w:div>
    <w:div w:id="1484732163">
      <w:bodyDiv w:val="1"/>
      <w:marLeft w:val="0"/>
      <w:marRight w:val="0"/>
      <w:marTop w:val="0"/>
      <w:marBottom w:val="0"/>
      <w:divBdr>
        <w:top w:val="none" w:sz="0" w:space="0" w:color="auto"/>
        <w:left w:val="none" w:sz="0" w:space="0" w:color="auto"/>
        <w:bottom w:val="none" w:sz="0" w:space="0" w:color="auto"/>
        <w:right w:val="none" w:sz="0" w:space="0" w:color="auto"/>
      </w:divBdr>
    </w:div>
    <w:div w:id="1514108241">
      <w:bodyDiv w:val="1"/>
      <w:marLeft w:val="0"/>
      <w:marRight w:val="0"/>
      <w:marTop w:val="0"/>
      <w:marBottom w:val="0"/>
      <w:divBdr>
        <w:top w:val="none" w:sz="0" w:space="0" w:color="auto"/>
        <w:left w:val="none" w:sz="0" w:space="0" w:color="auto"/>
        <w:bottom w:val="none" w:sz="0" w:space="0" w:color="auto"/>
        <w:right w:val="none" w:sz="0" w:space="0" w:color="auto"/>
      </w:divBdr>
    </w:div>
    <w:div w:id="1538621132">
      <w:bodyDiv w:val="1"/>
      <w:marLeft w:val="0"/>
      <w:marRight w:val="0"/>
      <w:marTop w:val="0"/>
      <w:marBottom w:val="0"/>
      <w:divBdr>
        <w:top w:val="none" w:sz="0" w:space="0" w:color="auto"/>
        <w:left w:val="none" w:sz="0" w:space="0" w:color="auto"/>
        <w:bottom w:val="none" w:sz="0" w:space="0" w:color="auto"/>
        <w:right w:val="none" w:sz="0" w:space="0" w:color="auto"/>
      </w:divBdr>
    </w:div>
    <w:div w:id="1582446204">
      <w:bodyDiv w:val="1"/>
      <w:marLeft w:val="0"/>
      <w:marRight w:val="0"/>
      <w:marTop w:val="0"/>
      <w:marBottom w:val="0"/>
      <w:divBdr>
        <w:top w:val="none" w:sz="0" w:space="0" w:color="auto"/>
        <w:left w:val="none" w:sz="0" w:space="0" w:color="auto"/>
        <w:bottom w:val="none" w:sz="0" w:space="0" w:color="auto"/>
        <w:right w:val="none" w:sz="0" w:space="0" w:color="auto"/>
      </w:divBdr>
    </w:div>
    <w:div w:id="1603682273">
      <w:bodyDiv w:val="1"/>
      <w:marLeft w:val="0"/>
      <w:marRight w:val="0"/>
      <w:marTop w:val="0"/>
      <w:marBottom w:val="0"/>
      <w:divBdr>
        <w:top w:val="none" w:sz="0" w:space="0" w:color="auto"/>
        <w:left w:val="none" w:sz="0" w:space="0" w:color="auto"/>
        <w:bottom w:val="none" w:sz="0" w:space="0" w:color="auto"/>
        <w:right w:val="none" w:sz="0" w:space="0" w:color="auto"/>
      </w:divBdr>
    </w:div>
    <w:div w:id="1671374886">
      <w:bodyDiv w:val="1"/>
      <w:marLeft w:val="0"/>
      <w:marRight w:val="0"/>
      <w:marTop w:val="0"/>
      <w:marBottom w:val="0"/>
      <w:divBdr>
        <w:top w:val="none" w:sz="0" w:space="0" w:color="auto"/>
        <w:left w:val="none" w:sz="0" w:space="0" w:color="auto"/>
        <w:bottom w:val="none" w:sz="0" w:space="0" w:color="auto"/>
        <w:right w:val="none" w:sz="0" w:space="0" w:color="auto"/>
      </w:divBdr>
    </w:div>
    <w:div w:id="1761289480">
      <w:bodyDiv w:val="1"/>
      <w:marLeft w:val="0"/>
      <w:marRight w:val="0"/>
      <w:marTop w:val="0"/>
      <w:marBottom w:val="0"/>
      <w:divBdr>
        <w:top w:val="none" w:sz="0" w:space="0" w:color="auto"/>
        <w:left w:val="none" w:sz="0" w:space="0" w:color="auto"/>
        <w:bottom w:val="none" w:sz="0" w:space="0" w:color="auto"/>
        <w:right w:val="none" w:sz="0" w:space="0" w:color="auto"/>
      </w:divBdr>
    </w:div>
    <w:div w:id="1786920419">
      <w:bodyDiv w:val="1"/>
      <w:marLeft w:val="0"/>
      <w:marRight w:val="0"/>
      <w:marTop w:val="0"/>
      <w:marBottom w:val="0"/>
      <w:divBdr>
        <w:top w:val="none" w:sz="0" w:space="0" w:color="auto"/>
        <w:left w:val="none" w:sz="0" w:space="0" w:color="auto"/>
        <w:bottom w:val="none" w:sz="0" w:space="0" w:color="auto"/>
        <w:right w:val="none" w:sz="0" w:space="0" w:color="auto"/>
      </w:divBdr>
    </w:div>
    <w:div w:id="1806923290">
      <w:bodyDiv w:val="1"/>
      <w:marLeft w:val="0"/>
      <w:marRight w:val="0"/>
      <w:marTop w:val="0"/>
      <w:marBottom w:val="0"/>
      <w:divBdr>
        <w:top w:val="none" w:sz="0" w:space="0" w:color="auto"/>
        <w:left w:val="none" w:sz="0" w:space="0" w:color="auto"/>
        <w:bottom w:val="none" w:sz="0" w:space="0" w:color="auto"/>
        <w:right w:val="none" w:sz="0" w:space="0" w:color="auto"/>
      </w:divBdr>
    </w:div>
    <w:div w:id="1840341453">
      <w:bodyDiv w:val="1"/>
      <w:marLeft w:val="0"/>
      <w:marRight w:val="0"/>
      <w:marTop w:val="0"/>
      <w:marBottom w:val="0"/>
      <w:divBdr>
        <w:top w:val="none" w:sz="0" w:space="0" w:color="auto"/>
        <w:left w:val="none" w:sz="0" w:space="0" w:color="auto"/>
        <w:bottom w:val="none" w:sz="0" w:space="0" w:color="auto"/>
        <w:right w:val="none" w:sz="0" w:space="0" w:color="auto"/>
      </w:divBdr>
    </w:div>
    <w:div w:id="1865095948">
      <w:bodyDiv w:val="1"/>
      <w:marLeft w:val="0"/>
      <w:marRight w:val="0"/>
      <w:marTop w:val="0"/>
      <w:marBottom w:val="0"/>
      <w:divBdr>
        <w:top w:val="none" w:sz="0" w:space="0" w:color="auto"/>
        <w:left w:val="none" w:sz="0" w:space="0" w:color="auto"/>
        <w:bottom w:val="none" w:sz="0" w:space="0" w:color="auto"/>
        <w:right w:val="none" w:sz="0" w:space="0" w:color="auto"/>
      </w:divBdr>
    </w:div>
    <w:div w:id="1900553301">
      <w:bodyDiv w:val="1"/>
      <w:marLeft w:val="0"/>
      <w:marRight w:val="0"/>
      <w:marTop w:val="0"/>
      <w:marBottom w:val="0"/>
      <w:divBdr>
        <w:top w:val="none" w:sz="0" w:space="0" w:color="auto"/>
        <w:left w:val="none" w:sz="0" w:space="0" w:color="auto"/>
        <w:bottom w:val="none" w:sz="0" w:space="0" w:color="auto"/>
        <w:right w:val="none" w:sz="0" w:space="0" w:color="auto"/>
      </w:divBdr>
    </w:div>
    <w:div w:id="2000883579">
      <w:bodyDiv w:val="1"/>
      <w:marLeft w:val="0"/>
      <w:marRight w:val="0"/>
      <w:marTop w:val="0"/>
      <w:marBottom w:val="0"/>
      <w:divBdr>
        <w:top w:val="none" w:sz="0" w:space="0" w:color="auto"/>
        <w:left w:val="none" w:sz="0" w:space="0" w:color="auto"/>
        <w:bottom w:val="none" w:sz="0" w:space="0" w:color="auto"/>
        <w:right w:val="none" w:sz="0" w:space="0" w:color="auto"/>
      </w:divBdr>
    </w:div>
    <w:div w:id="2004818203">
      <w:bodyDiv w:val="1"/>
      <w:marLeft w:val="0"/>
      <w:marRight w:val="0"/>
      <w:marTop w:val="0"/>
      <w:marBottom w:val="0"/>
      <w:divBdr>
        <w:top w:val="none" w:sz="0" w:space="0" w:color="auto"/>
        <w:left w:val="none" w:sz="0" w:space="0" w:color="auto"/>
        <w:bottom w:val="none" w:sz="0" w:space="0" w:color="auto"/>
        <w:right w:val="none" w:sz="0" w:space="0" w:color="auto"/>
      </w:divBdr>
    </w:div>
    <w:div w:id="20950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lr.org/search?author1=S+D+Fowler&amp;sortspec=date&amp;submit=Submi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jlr.org/search?author1=P+Greenspan&amp;sortspec=date&amp;submit=Submit"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erajuda@stjohns.edu"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33</Pages>
  <Words>6302</Words>
  <Characters>35922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vt:lpstr>
    </vt:vector>
  </TitlesOfParts>
  <Company>Hewlett-Packard</Company>
  <LinksUpToDate>false</LinksUpToDate>
  <CharactersWithSpaces>42140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nrupa</dc:creator>
  <cp:lastModifiedBy>Information Technology</cp:lastModifiedBy>
  <cp:revision>4</cp:revision>
  <dcterms:created xsi:type="dcterms:W3CDTF">2012-05-12T01:37:00Z</dcterms:created>
  <dcterms:modified xsi:type="dcterms:W3CDTF">2012-05-12T04:39:00Z</dcterms:modified>
</cp:coreProperties>
</file>