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41" w:rsidRPr="00B13F50" w:rsidRDefault="00E61F41" w:rsidP="00E61F41">
      <w:pPr>
        <w:autoSpaceDE w:val="0"/>
        <w:autoSpaceDN w:val="0"/>
        <w:adjustRightInd w:val="0"/>
        <w:spacing w:after="0" w:line="480" w:lineRule="auto"/>
        <w:jc w:val="both"/>
        <w:rPr>
          <w:rFonts w:ascii="Times New Roman" w:eastAsia="Calibri" w:hAnsi="Times New Roman" w:cs="Times New Roman"/>
          <w:b/>
          <w:color w:val="000000"/>
          <w:sz w:val="24"/>
          <w:szCs w:val="24"/>
        </w:rPr>
      </w:pPr>
      <w:r w:rsidRPr="00B13F50">
        <w:rPr>
          <w:rFonts w:ascii="Times New Roman" w:eastAsia="Calibri" w:hAnsi="Times New Roman" w:cs="Times New Roman"/>
          <w:b/>
          <w:color w:val="000000"/>
          <w:sz w:val="24"/>
          <w:szCs w:val="24"/>
        </w:rPr>
        <w:t>Development of Solid SEDDS, III: Application of Acconon C-50</w:t>
      </w:r>
      <w:r w:rsidRPr="00B13F50">
        <w:rPr>
          <w:rFonts w:ascii="Times New Roman" w:eastAsia="Calibri" w:hAnsi="Times New Roman" w:cs="Times New Roman"/>
          <w:b/>
          <w:color w:val="000000"/>
          <w:sz w:val="24"/>
          <w:szCs w:val="24"/>
          <w:vertAlign w:val="superscript"/>
        </w:rPr>
        <w:t>®</w:t>
      </w:r>
      <w:r w:rsidRPr="00B13F50">
        <w:rPr>
          <w:rFonts w:ascii="Times New Roman" w:eastAsia="Calibri" w:hAnsi="Times New Roman" w:cs="Times New Roman"/>
          <w:b/>
          <w:color w:val="000000"/>
          <w:sz w:val="24"/>
          <w:szCs w:val="24"/>
        </w:rPr>
        <w:t xml:space="preserve"> and Gelucire 50/13</w:t>
      </w:r>
      <w:r w:rsidRPr="00B13F50">
        <w:rPr>
          <w:rFonts w:ascii="Times New Roman" w:eastAsia="Calibri" w:hAnsi="Times New Roman" w:cs="Times New Roman"/>
          <w:b/>
          <w:color w:val="000000"/>
          <w:sz w:val="24"/>
          <w:szCs w:val="24"/>
          <w:vertAlign w:val="superscript"/>
        </w:rPr>
        <w:t>®</w:t>
      </w:r>
      <w:r w:rsidRPr="00B13F50">
        <w:rPr>
          <w:rFonts w:ascii="Times New Roman" w:eastAsia="Calibri" w:hAnsi="Times New Roman" w:cs="Times New Roman"/>
          <w:b/>
          <w:color w:val="000000"/>
          <w:sz w:val="24"/>
          <w:szCs w:val="24"/>
        </w:rPr>
        <w:t xml:space="preserve"> as Both Solidifying and Emulsifying Agents for Medium Chain Triglycerides</w:t>
      </w: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Nrupa Patel</w:t>
      </w:r>
      <w:r w:rsidRPr="00B13F50">
        <w:rPr>
          <w:rFonts w:ascii="Times New Roman" w:eastAsia="Calibri" w:hAnsi="Times New Roman" w:cs="Times New Roman"/>
          <w:sz w:val="24"/>
          <w:szCs w:val="24"/>
          <w:vertAlign w:val="superscript"/>
        </w:rPr>
        <w:t>a</w:t>
      </w:r>
      <w:r w:rsidRPr="00B13F50">
        <w:rPr>
          <w:rFonts w:ascii="Times New Roman" w:hAnsi="Times New Roman" w:cs="Times New Roman"/>
          <w:sz w:val="24"/>
          <w:szCs w:val="24"/>
        </w:rPr>
        <w:t xml:space="preserve">, Damon </w:t>
      </w:r>
      <w:r w:rsidR="00376070">
        <w:rPr>
          <w:rFonts w:ascii="Times New Roman" w:hAnsi="Times New Roman" w:cs="Times New Roman"/>
          <w:sz w:val="24"/>
          <w:szCs w:val="24"/>
        </w:rPr>
        <w:t xml:space="preserve">M. </w:t>
      </w:r>
      <w:r w:rsidRPr="00B13F50">
        <w:rPr>
          <w:rFonts w:ascii="Times New Roman" w:hAnsi="Times New Roman" w:cs="Times New Roman"/>
          <w:sz w:val="24"/>
          <w:szCs w:val="24"/>
        </w:rPr>
        <w:t>Dalrymple</w:t>
      </w:r>
      <w:r w:rsidRPr="00B13F50">
        <w:rPr>
          <w:rFonts w:ascii="Times New Roman" w:eastAsia="Calibri" w:hAnsi="Times New Roman" w:cs="Times New Roman"/>
          <w:sz w:val="24"/>
          <w:szCs w:val="24"/>
          <w:vertAlign w:val="superscript"/>
        </w:rPr>
        <w:t>b</w:t>
      </w:r>
      <w:r w:rsidRPr="00B13F50">
        <w:rPr>
          <w:rFonts w:ascii="Times New Roman" w:hAnsi="Times New Roman" w:cs="Times New Roman"/>
          <w:sz w:val="24"/>
          <w:szCs w:val="24"/>
        </w:rPr>
        <w:t>, Abu T.M. Serajuddin</w:t>
      </w:r>
      <w:r w:rsidRPr="00B13F50">
        <w:rPr>
          <w:rFonts w:ascii="Times New Roman" w:eastAsia="Calibri" w:hAnsi="Times New Roman" w:cs="Times New Roman"/>
          <w:sz w:val="24"/>
          <w:szCs w:val="24"/>
          <w:vertAlign w:val="superscript"/>
        </w:rPr>
        <w:t>a</w:t>
      </w:r>
    </w:p>
    <w:p w:rsidR="00E61F41" w:rsidRPr="00B13F50" w:rsidRDefault="00E61F41" w:rsidP="00E61F41">
      <w:pPr>
        <w:spacing w:line="480" w:lineRule="auto"/>
        <w:jc w:val="both"/>
        <w:rPr>
          <w:rFonts w:ascii="Times New Roman" w:eastAsia="Calibri" w:hAnsi="Times New Roman" w:cs="Times New Roman"/>
          <w:sz w:val="24"/>
          <w:szCs w:val="24"/>
        </w:rPr>
      </w:pPr>
      <w:r w:rsidRPr="00B13F50">
        <w:rPr>
          <w:rFonts w:ascii="Times New Roman" w:eastAsia="Calibri" w:hAnsi="Times New Roman" w:cs="Times New Roman"/>
          <w:sz w:val="24"/>
          <w:szCs w:val="24"/>
          <w:vertAlign w:val="superscript"/>
        </w:rPr>
        <w:t>a</w:t>
      </w:r>
      <w:r w:rsidRPr="00B13F50">
        <w:rPr>
          <w:rFonts w:ascii="Times New Roman" w:eastAsia="Calibri" w:hAnsi="Times New Roman" w:cs="Times New Roman"/>
          <w:sz w:val="24"/>
          <w:szCs w:val="24"/>
        </w:rPr>
        <w:t>College of Pharmacy and Allied Health Professions, St. John’s University, 8000 Utopia Parkway, Queens, NY 1143</w:t>
      </w:r>
      <w:r w:rsidRPr="00B13F50">
        <w:rPr>
          <w:rFonts w:ascii="Times New Roman" w:hAnsi="Times New Roman" w:cs="Times New Roman"/>
          <w:sz w:val="24"/>
          <w:szCs w:val="24"/>
        </w:rPr>
        <w:t>9</w:t>
      </w:r>
      <w:r w:rsidRPr="00B13F50">
        <w:rPr>
          <w:rFonts w:ascii="Times New Roman" w:eastAsia="Calibri" w:hAnsi="Times New Roman" w:cs="Times New Roman"/>
          <w:sz w:val="24"/>
          <w:szCs w:val="24"/>
        </w:rPr>
        <w:t xml:space="preserve">, USA  </w:t>
      </w:r>
    </w:p>
    <w:p w:rsidR="00E61F41" w:rsidRPr="00B13F50" w:rsidRDefault="00E61F41" w:rsidP="00E61F41">
      <w:pPr>
        <w:pBdr>
          <w:bottom w:val="single" w:sz="12" w:space="1" w:color="auto"/>
        </w:pBdr>
        <w:spacing w:line="480" w:lineRule="auto"/>
        <w:jc w:val="both"/>
        <w:rPr>
          <w:rFonts w:ascii="Times New Roman" w:eastAsia="Calibri" w:hAnsi="Times New Roman" w:cs="Times New Roman"/>
          <w:sz w:val="24"/>
          <w:szCs w:val="24"/>
        </w:rPr>
      </w:pPr>
      <w:r w:rsidRPr="00B13F50">
        <w:rPr>
          <w:rFonts w:ascii="Times New Roman" w:eastAsia="Calibri" w:hAnsi="Times New Roman" w:cs="Times New Roman"/>
          <w:sz w:val="24"/>
          <w:szCs w:val="24"/>
          <w:vertAlign w:val="superscript"/>
        </w:rPr>
        <w:t>b</w:t>
      </w:r>
      <w:r w:rsidRPr="00B13F50">
        <w:rPr>
          <w:rFonts w:ascii="Times New Roman" w:eastAsia="Calibri" w:hAnsi="Times New Roman" w:cs="Times New Roman"/>
          <w:sz w:val="24"/>
          <w:szCs w:val="24"/>
        </w:rPr>
        <w:t xml:space="preserve">ABITEC Corporation, </w:t>
      </w:r>
      <w:r w:rsidR="00F2245B">
        <w:rPr>
          <w:rFonts w:ascii="Times New Roman" w:hAnsi="Times New Roman"/>
          <w:sz w:val="24"/>
          <w:szCs w:val="24"/>
        </w:rPr>
        <w:t>501W 1</w:t>
      </w:r>
      <w:r w:rsidR="00F2245B">
        <w:rPr>
          <w:rFonts w:ascii="Times New Roman" w:hAnsi="Times New Roman"/>
          <w:sz w:val="24"/>
          <w:szCs w:val="24"/>
          <w:vertAlign w:val="superscript"/>
        </w:rPr>
        <w:t xml:space="preserve">st </w:t>
      </w:r>
      <w:r w:rsidR="00F2245B">
        <w:rPr>
          <w:rFonts w:ascii="Times New Roman" w:hAnsi="Times New Roman"/>
          <w:sz w:val="24"/>
          <w:szCs w:val="24"/>
        </w:rPr>
        <w:t>Avenue,</w:t>
      </w:r>
      <w:r w:rsidR="00F2245B" w:rsidRPr="00B13F50">
        <w:rPr>
          <w:rFonts w:ascii="Times New Roman" w:eastAsia="Calibri" w:hAnsi="Times New Roman" w:cs="Times New Roman"/>
          <w:sz w:val="24"/>
          <w:szCs w:val="24"/>
        </w:rPr>
        <w:t xml:space="preserve"> </w:t>
      </w:r>
      <w:r w:rsidRPr="00B13F50">
        <w:rPr>
          <w:rFonts w:ascii="Times New Roman" w:eastAsia="Calibri" w:hAnsi="Times New Roman" w:cs="Times New Roman"/>
          <w:sz w:val="24"/>
          <w:szCs w:val="24"/>
        </w:rPr>
        <w:t>Columbus, OH 43215, USA</w:t>
      </w:r>
    </w:p>
    <w:p w:rsidR="00E61F41" w:rsidRPr="00B13F50" w:rsidRDefault="00E61F41" w:rsidP="00E61F41">
      <w:pPr>
        <w:spacing w:line="480" w:lineRule="auto"/>
        <w:jc w:val="both"/>
        <w:rPr>
          <w:rFonts w:ascii="Times New Roman" w:eastAsia="Calibri" w:hAnsi="Times New Roman" w:cs="Times New Roman"/>
          <w:b/>
          <w:sz w:val="24"/>
          <w:szCs w:val="24"/>
        </w:rPr>
      </w:pPr>
      <w:r w:rsidRPr="00B13F50">
        <w:rPr>
          <w:rFonts w:ascii="Times New Roman" w:eastAsia="Calibri" w:hAnsi="Times New Roman" w:cs="Times New Roman"/>
          <w:sz w:val="24"/>
          <w:szCs w:val="24"/>
        </w:rPr>
        <w:t xml:space="preserve">Correspondence: Abu T. M. Serajuddin (Telephone: 718-990-7822; Fax: 718-990-1877; E-mail: serajuda@stjohns.edu </w:t>
      </w:r>
    </w:p>
    <w:p w:rsidR="00E61F41" w:rsidRPr="00B13F50" w:rsidRDefault="00E61F41" w:rsidP="00E61F41">
      <w:pPr>
        <w:spacing w:line="480" w:lineRule="auto"/>
        <w:jc w:val="both"/>
        <w:rPr>
          <w:rStyle w:val="apple-style-span"/>
          <w:rFonts w:ascii="Times New Roman" w:hAnsi="Times New Roman" w:cs="Times New Roman"/>
          <w:b/>
          <w:color w:val="000000"/>
          <w:sz w:val="24"/>
          <w:szCs w:val="24"/>
          <w:shd w:val="clear" w:color="auto" w:fill="FFFFFF"/>
        </w:rPr>
      </w:pPr>
      <w:r w:rsidRPr="00B13F50">
        <w:rPr>
          <w:rFonts w:ascii="Times New Roman" w:eastAsia="Calibri" w:hAnsi="Times New Roman" w:cs="Times New Roman"/>
          <w:b/>
          <w:sz w:val="24"/>
          <w:szCs w:val="24"/>
        </w:rPr>
        <w:br w:type="page"/>
      </w:r>
    </w:p>
    <w:p w:rsidR="00E61F41" w:rsidRPr="00B13F50" w:rsidRDefault="00E61F41" w:rsidP="00E61F41">
      <w:pPr>
        <w:autoSpaceDE w:val="0"/>
        <w:autoSpaceDN w:val="0"/>
        <w:adjustRightInd w:val="0"/>
        <w:spacing w:after="0" w:line="480" w:lineRule="auto"/>
        <w:jc w:val="both"/>
        <w:rPr>
          <w:rFonts w:ascii="Times New Roman" w:hAnsi="Times New Roman" w:cs="Times New Roman"/>
          <w:b/>
          <w:bCs/>
          <w:sz w:val="24"/>
          <w:szCs w:val="24"/>
        </w:rPr>
      </w:pPr>
      <w:r w:rsidRPr="00B13F50">
        <w:rPr>
          <w:rFonts w:ascii="Times New Roman" w:hAnsi="Times New Roman" w:cs="Times New Roman"/>
          <w:b/>
          <w:bCs/>
          <w:sz w:val="24"/>
          <w:szCs w:val="24"/>
        </w:rPr>
        <w:lastRenderedPageBreak/>
        <w:t>ABSTRACT</w:t>
      </w:r>
    </w:p>
    <w:p w:rsidR="00E61F41" w:rsidRPr="00B13F50" w:rsidRDefault="00E61F41" w:rsidP="00E61F41">
      <w:pPr>
        <w:autoSpaceDE w:val="0"/>
        <w:autoSpaceDN w:val="0"/>
        <w:adjustRightInd w:val="0"/>
        <w:spacing w:after="0" w:line="480" w:lineRule="auto"/>
        <w:jc w:val="both"/>
        <w:rPr>
          <w:rFonts w:ascii="Times New Roman" w:hAnsi="Times New Roman" w:cs="Times New Roman"/>
          <w:bCs/>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bCs/>
          <w:sz w:val="24"/>
          <w:szCs w:val="24"/>
        </w:rPr>
        <w:t>Solid self-emulsifying drug delivery systems (SEDDS) for medium chain triglycerides (Captex 355</w:t>
      </w:r>
      <w:r w:rsidRPr="00B13F50">
        <w:rPr>
          <w:rFonts w:ascii="Times New Roman" w:hAnsi="Times New Roman" w:cs="Times New Roman"/>
          <w:sz w:val="24"/>
          <w:szCs w:val="24"/>
          <w:vertAlign w:val="superscript"/>
        </w:rPr>
        <w:t>®</w:t>
      </w:r>
      <w:r w:rsidRPr="00B13F50">
        <w:rPr>
          <w:rFonts w:ascii="Times New Roman" w:hAnsi="Times New Roman" w:cs="Times New Roman"/>
          <w:bCs/>
          <w:sz w:val="24"/>
          <w:szCs w:val="24"/>
        </w:rPr>
        <w:t>, ABITEC) were developed using stearoyl polyoxyl glycerides (Acconon C-50</w:t>
      </w:r>
      <w:r w:rsidRPr="00B13F50">
        <w:rPr>
          <w:rFonts w:ascii="Times New Roman" w:hAnsi="Times New Roman" w:cs="Times New Roman"/>
          <w:sz w:val="24"/>
          <w:szCs w:val="24"/>
          <w:vertAlign w:val="superscript"/>
        </w:rPr>
        <w:t>®</w:t>
      </w:r>
      <w:r w:rsidRPr="00B13F50">
        <w:rPr>
          <w:rFonts w:ascii="Times New Roman" w:hAnsi="Times New Roman" w:cs="Times New Roman"/>
          <w:bCs/>
          <w:sz w:val="24"/>
          <w:szCs w:val="24"/>
        </w:rPr>
        <w:t>, ABITEC and Gelucire 50/13</w:t>
      </w:r>
      <w:r w:rsidRPr="00B13F50">
        <w:rPr>
          <w:rFonts w:ascii="Times New Roman" w:hAnsi="Times New Roman" w:cs="Times New Roman"/>
          <w:sz w:val="24"/>
          <w:szCs w:val="24"/>
          <w:vertAlign w:val="superscript"/>
        </w:rPr>
        <w:t>®</w:t>
      </w:r>
      <w:r w:rsidRPr="00B13F50">
        <w:rPr>
          <w:rFonts w:ascii="Times New Roman" w:hAnsi="Times New Roman" w:cs="Times New Roman"/>
          <w:bCs/>
          <w:sz w:val="24"/>
          <w:szCs w:val="24"/>
        </w:rPr>
        <w:t>, Gattefosse) as both solidifying and emulsifying agents.</w:t>
      </w:r>
      <w:r w:rsidRPr="00B13F50">
        <w:rPr>
          <w:rFonts w:ascii="Times New Roman" w:hAnsi="Times New Roman" w:cs="Times New Roman"/>
          <w:b/>
          <w:bCs/>
          <w:sz w:val="24"/>
          <w:szCs w:val="24"/>
        </w:rPr>
        <w:t xml:space="preserve"> </w:t>
      </w:r>
      <w:r w:rsidRPr="00B13F50">
        <w:rPr>
          <w:rFonts w:ascii="Times New Roman" w:hAnsi="Times New Roman" w:cs="Times New Roman"/>
          <w:sz w:val="24"/>
          <w:szCs w:val="24"/>
        </w:rPr>
        <w:t>Different mixtures of the lipid and each solidifying agent were heated to 65ºC until homogenously mixed clear liquids were formed. Probucol was dissolved as the model drug. The molten mass was then filled in hard gelatin capsules</w:t>
      </w:r>
      <w:r w:rsidR="00F2245B">
        <w:rPr>
          <w:rFonts w:ascii="Times New Roman" w:hAnsi="Times New Roman" w:cs="Times New Roman"/>
          <w:sz w:val="24"/>
          <w:szCs w:val="24"/>
        </w:rPr>
        <w:t xml:space="preserve">, </w:t>
      </w:r>
      <w:r w:rsidR="00B57642">
        <w:rPr>
          <w:rFonts w:ascii="Times New Roman" w:hAnsi="Times New Roman" w:cs="Times New Roman"/>
          <w:sz w:val="24"/>
          <w:szCs w:val="24"/>
        </w:rPr>
        <w:t xml:space="preserve">which upon cooling to room temperature converted to a solid mass inside capsules. </w:t>
      </w:r>
      <w:r w:rsidRPr="00B13F50">
        <w:rPr>
          <w:rFonts w:ascii="Times New Roman" w:hAnsi="Times New Roman" w:cs="Times New Roman"/>
          <w:sz w:val="24"/>
          <w:szCs w:val="24"/>
        </w:rPr>
        <w:t>The triglyceride could be incorporated in the system to a concentration as high as 80% w/w by still maintaining the solid</w:t>
      </w:r>
      <w:r w:rsidR="00F2245B">
        <w:rPr>
          <w:rFonts w:ascii="Times New Roman" w:hAnsi="Times New Roman" w:cs="Times New Roman"/>
          <w:sz w:val="24"/>
          <w:szCs w:val="24"/>
        </w:rPr>
        <w:t xml:space="preserve"> or semisolid</w:t>
      </w:r>
      <w:r w:rsidRPr="00B13F50">
        <w:rPr>
          <w:rFonts w:ascii="Times New Roman" w:hAnsi="Times New Roman" w:cs="Times New Roman"/>
          <w:sz w:val="24"/>
          <w:szCs w:val="24"/>
        </w:rPr>
        <w:t xml:space="preserve"> consistency of the system.  Powder XRD, DSC, microscopy (cross-polarization and confocal fluorescence techniques), dispersion test and particle size analysis of the solid systems with and without drug were conducted to characterize different formulations. The solidifying agents maintained their crystallinity in solid systems, while the lipids were interspersed in between crystalline regions. The drug remained solubilized in the lipid phase. The formulations dispersed almost completely in 2 h with particle size of the disperse</w:t>
      </w:r>
      <w:r>
        <w:rPr>
          <w:rFonts w:ascii="Times New Roman" w:hAnsi="Times New Roman" w:cs="Times New Roman"/>
          <w:sz w:val="24"/>
          <w:szCs w:val="24"/>
        </w:rPr>
        <w:t>d lipid in the range of 250 to 50</w:t>
      </w:r>
      <w:r w:rsidRPr="00B13F50">
        <w:rPr>
          <w:rFonts w:ascii="Times New Roman" w:hAnsi="Times New Roman" w:cs="Times New Roman"/>
          <w:sz w:val="24"/>
          <w:szCs w:val="24"/>
        </w:rPr>
        <w:t xml:space="preserve">0 nm when the lipid content in the formulation was up to 50% w/w. Thus, a novel method of developing solid formulations of liquid triglycerides by incorporating lipids in </w:t>
      </w:r>
      <w:r w:rsidRPr="00B13F50">
        <w:rPr>
          <w:rFonts w:ascii="Times New Roman" w:hAnsi="Times New Roman" w:cs="Times New Roman"/>
          <w:bCs/>
          <w:sz w:val="24"/>
          <w:szCs w:val="24"/>
        </w:rPr>
        <w:t>stearoyl polyoxyl</w:t>
      </w:r>
      <w:r w:rsidR="00376070">
        <w:rPr>
          <w:rFonts w:ascii="Times New Roman" w:hAnsi="Times New Roman" w:cs="Times New Roman"/>
          <w:bCs/>
          <w:sz w:val="24"/>
          <w:szCs w:val="24"/>
        </w:rPr>
        <w:t xml:space="preserve"> </w:t>
      </w:r>
      <w:r w:rsidRPr="00B13F50">
        <w:rPr>
          <w:rFonts w:ascii="Times New Roman" w:hAnsi="Times New Roman" w:cs="Times New Roman"/>
          <w:bCs/>
          <w:sz w:val="24"/>
          <w:szCs w:val="24"/>
        </w:rPr>
        <w:t>glycerides has been developed.</w:t>
      </w:r>
    </w:p>
    <w:p w:rsidR="0028265E" w:rsidRDefault="0028265E" w:rsidP="00E61F41">
      <w:pPr>
        <w:autoSpaceDE w:val="0"/>
        <w:autoSpaceDN w:val="0"/>
        <w:adjustRightInd w:val="0"/>
        <w:spacing w:after="0" w:line="480" w:lineRule="auto"/>
        <w:jc w:val="both"/>
        <w:rPr>
          <w:rFonts w:ascii="Times New Roman" w:hAnsi="Times New Roman"/>
          <w:sz w:val="24"/>
          <w:szCs w:val="24"/>
        </w:rPr>
      </w:pPr>
    </w:p>
    <w:p w:rsidR="00E61F41" w:rsidRPr="00B13F50" w:rsidRDefault="0028265E" w:rsidP="00E61F4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sz w:val="24"/>
          <w:szCs w:val="24"/>
        </w:rPr>
        <w:t xml:space="preserve">KEY WORDS: Solid SEDDS, </w:t>
      </w:r>
      <w:r w:rsidRPr="00B13F50">
        <w:rPr>
          <w:rFonts w:ascii="Times New Roman" w:hAnsi="Times New Roman" w:cs="Times New Roman"/>
          <w:bCs/>
          <w:sz w:val="24"/>
          <w:szCs w:val="24"/>
        </w:rPr>
        <w:t>stearoyl polyoxyl glycerides</w:t>
      </w:r>
      <w:r>
        <w:rPr>
          <w:rFonts w:ascii="Times New Roman" w:hAnsi="Times New Roman"/>
          <w:sz w:val="24"/>
          <w:szCs w:val="24"/>
        </w:rPr>
        <w:t>, Acconon C-50, Gelucire 50/13, probucol, dispersion testing</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spacing w:line="480" w:lineRule="auto"/>
        <w:jc w:val="both"/>
        <w:rPr>
          <w:rStyle w:val="apple-style-span"/>
          <w:rFonts w:ascii="Times New Roman" w:hAnsi="Times New Roman" w:cs="Times New Roman"/>
          <w:b/>
          <w:color w:val="000000"/>
          <w:sz w:val="24"/>
          <w:szCs w:val="24"/>
          <w:shd w:val="clear" w:color="auto" w:fill="FFFFFF"/>
        </w:rPr>
      </w:pPr>
    </w:p>
    <w:p w:rsidR="00E61F41" w:rsidRPr="00B13F50" w:rsidRDefault="00E61F41" w:rsidP="00E61F41">
      <w:pPr>
        <w:spacing w:line="480" w:lineRule="auto"/>
        <w:jc w:val="both"/>
        <w:rPr>
          <w:rStyle w:val="apple-style-span"/>
          <w:rFonts w:ascii="Times New Roman" w:hAnsi="Times New Roman" w:cs="Times New Roman"/>
          <w:b/>
          <w:color w:val="000000"/>
          <w:sz w:val="24"/>
          <w:szCs w:val="24"/>
          <w:shd w:val="clear" w:color="auto" w:fill="FFFFFF"/>
        </w:rPr>
      </w:pPr>
    </w:p>
    <w:p w:rsidR="00E61F41" w:rsidRPr="00B13F50" w:rsidRDefault="00E61F41" w:rsidP="00E61F41">
      <w:pPr>
        <w:spacing w:line="480" w:lineRule="auto"/>
        <w:jc w:val="both"/>
        <w:rPr>
          <w:rStyle w:val="apple-style-span"/>
          <w:rFonts w:ascii="Times New Roman" w:hAnsi="Times New Roman" w:cs="Times New Roman"/>
          <w:b/>
          <w:color w:val="000000"/>
          <w:sz w:val="24"/>
          <w:szCs w:val="24"/>
          <w:shd w:val="clear" w:color="auto" w:fill="FFFFFF"/>
        </w:rPr>
      </w:pPr>
      <w:r w:rsidRPr="00B13F50">
        <w:rPr>
          <w:rStyle w:val="apple-style-span"/>
          <w:rFonts w:ascii="Times New Roman" w:hAnsi="Times New Roman" w:cs="Times New Roman"/>
          <w:b/>
          <w:color w:val="000000"/>
          <w:sz w:val="24"/>
          <w:szCs w:val="24"/>
          <w:shd w:val="clear" w:color="auto" w:fill="FFFFFF"/>
        </w:rPr>
        <w:t>INTRODUCTION</w:t>
      </w:r>
    </w:p>
    <w:p w:rsidR="00E61F41" w:rsidRPr="00B13F50" w:rsidRDefault="00F2245B" w:rsidP="00E61F4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recent years, t</w:t>
      </w:r>
      <w:r w:rsidR="00E61F41" w:rsidRPr="00B13F50">
        <w:rPr>
          <w:rFonts w:ascii="Times New Roman" w:hAnsi="Times New Roman" w:cs="Times New Roman"/>
          <w:sz w:val="24"/>
          <w:szCs w:val="24"/>
        </w:rPr>
        <w:t xml:space="preserve">here has been a great interest in the development of lipid-based drug delivery systems by solubilizing poorly water-soluble </w:t>
      </w:r>
      <w:r>
        <w:rPr>
          <w:rFonts w:ascii="Times New Roman" w:hAnsi="Times New Roman" w:cs="Times New Roman"/>
          <w:sz w:val="24"/>
          <w:szCs w:val="24"/>
        </w:rPr>
        <w:t xml:space="preserve">and lipophilic </w:t>
      </w:r>
      <w:r w:rsidR="00E61F41" w:rsidRPr="00B13F50">
        <w:rPr>
          <w:rFonts w:ascii="Times New Roman" w:hAnsi="Times New Roman" w:cs="Times New Roman"/>
          <w:sz w:val="24"/>
          <w:szCs w:val="24"/>
        </w:rPr>
        <w:t>drugs in lipids or in mixtures of lipids and surfactants</w:t>
      </w:r>
      <w:r w:rsidR="00FB28AF">
        <w:rPr>
          <w:rFonts w:ascii="Times New Roman" w:hAnsi="Times New Roman" w:cs="Times New Roman"/>
          <w:sz w:val="24"/>
          <w:szCs w:val="24"/>
        </w:rPr>
        <w:t xml:space="preserve"> (1-5)</w:t>
      </w:r>
      <w:r w:rsidR="00E61F41" w:rsidRPr="00B13F50">
        <w:rPr>
          <w:rFonts w:ascii="Times New Roman" w:hAnsi="Times New Roman" w:cs="Times New Roman"/>
          <w:sz w:val="24"/>
          <w:szCs w:val="24"/>
        </w:rPr>
        <w:t>. For the release of drugs from lipids into the gastrointestinal fluids after oral intake of such formulations, it is essential that the lipids emulsify in aqueous media to increase its surface for partitioning of drugs into aqueous media or for the enzymatic digestion of lipids to enable drug release. Depending on whether they spontaneously form emulsion or microemul</w:t>
      </w:r>
      <w:r w:rsidR="00E61F41">
        <w:rPr>
          <w:rFonts w:ascii="Times New Roman" w:hAnsi="Times New Roman" w:cs="Times New Roman"/>
          <w:sz w:val="24"/>
          <w:szCs w:val="24"/>
        </w:rPr>
        <w:t>sion in presence of water, they</w:t>
      </w:r>
      <w:r w:rsidR="00E61F41" w:rsidRPr="00B13F50">
        <w:rPr>
          <w:rFonts w:ascii="Times New Roman" w:hAnsi="Times New Roman" w:cs="Times New Roman"/>
          <w:sz w:val="24"/>
          <w:szCs w:val="24"/>
        </w:rPr>
        <w:t xml:space="preserve"> are respectively called self-emulsifying or self-micro emulsifying drug delivery systems (SEDDS or SMEDDS, respectively)</w:t>
      </w:r>
      <w:r w:rsidR="00FB28AF">
        <w:rPr>
          <w:rFonts w:ascii="Times New Roman" w:hAnsi="Times New Roman" w:cs="Times New Roman"/>
          <w:sz w:val="24"/>
          <w:szCs w:val="24"/>
        </w:rPr>
        <w:t xml:space="preserve"> (6, 7)</w:t>
      </w:r>
      <w:r w:rsidR="00E61F41" w:rsidRPr="00B13F50">
        <w:rPr>
          <w:rFonts w:ascii="Times New Roman" w:hAnsi="Times New Roman" w:cs="Times New Roman"/>
          <w:sz w:val="24"/>
          <w:szCs w:val="24"/>
        </w:rPr>
        <w:t xml:space="preserve">. They are also referred to as emulsion or microemulsion preconcentrates as they, respectively, form emulsion or microemulsion in contact with aqueous media. Since the commonly used lipids and surfactants are liquid at room temperature, they usually result in liquid products. </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In recent years, there has been much interest in the development of lipid-based drug delivery systems that are solid at room temperature</w:t>
      </w:r>
      <w:r w:rsidR="00FB28AF">
        <w:rPr>
          <w:rFonts w:ascii="Times New Roman" w:hAnsi="Times New Roman" w:cs="Times New Roman"/>
          <w:sz w:val="24"/>
          <w:szCs w:val="24"/>
        </w:rPr>
        <w:t xml:space="preserve"> (8, 9)</w:t>
      </w:r>
      <w:r w:rsidRPr="00B13F50">
        <w:rPr>
          <w:rFonts w:ascii="Times New Roman" w:hAnsi="Times New Roman" w:cs="Times New Roman"/>
          <w:sz w:val="24"/>
          <w:szCs w:val="24"/>
        </w:rPr>
        <w:t>. There are, however, potential stability issues with such dosage forms as the drugs may crystallize out from solid matrices. Li et al.</w:t>
      </w:r>
      <w:r w:rsidR="00FB28AF">
        <w:rPr>
          <w:rFonts w:ascii="Times New Roman" w:hAnsi="Times New Roman" w:cs="Times New Roman"/>
          <w:sz w:val="24"/>
          <w:szCs w:val="24"/>
        </w:rPr>
        <w:t xml:space="preserve"> (10)</w:t>
      </w:r>
      <w:r w:rsidRPr="00B13F50">
        <w:rPr>
          <w:rFonts w:ascii="Times New Roman" w:hAnsi="Times New Roman" w:cs="Times New Roman"/>
          <w:sz w:val="24"/>
          <w:szCs w:val="24"/>
        </w:rPr>
        <w:t xml:space="preserve"> reported a novel method of developing solid lipid-based formulations where the mixture of lipid and surfactant exists as a separate phase interspersed in the solid matrix of polyethylene glycol </w:t>
      </w:r>
      <w:r w:rsidR="00F2245B">
        <w:rPr>
          <w:rFonts w:ascii="Times New Roman" w:hAnsi="Times New Roman" w:cs="Times New Roman"/>
          <w:sz w:val="24"/>
          <w:szCs w:val="24"/>
        </w:rPr>
        <w:t xml:space="preserve">(PEG) </w:t>
      </w:r>
      <w:r w:rsidRPr="00B13F50">
        <w:rPr>
          <w:rFonts w:ascii="Times New Roman" w:hAnsi="Times New Roman" w:cs="Times New Roman"/>
          <w:sz w:val="24"/>
          <w:szCs w:val="24"/>
        </w:rPr>
        <w:t>3350. Later, Shah and Serajuddin</w:t>
      </w:r>
      <w:r w:rsidR="00FB28AF">
        <w:rPr>
          <w:rFonts w:ascii="Times New Roman" w:hAnsi="Times New Roman" w:cs="Times New Roman"/>
          <w:sz w:val="24"/>
          <w:szCs w:val="24"/>
        </w:rPr>
        <w:t xml:space="preserve"> (11)</w:t>
      </w:r>
      <w:r w:rsidRPr="00B13F50">
        <w:rPr>
          <w:rFonts w:ascii="Times New Roman" w:hAnsi="Times New Roman" w:cs="Times New Roman"/>
          <w:sz w:val="24"/>
          <w:szCs w:val="24"/>
        </w:rPr>
        <w:t xml:space="preserve"> reported that lipids alone may be incorporated into the solid matrix of Poloxamer 188, where the matrix serves as both solidifying and emulsifying </w:t>
      </w:r>
      <w:r w:rsidRPr="00B13F50">
        <w:rPr>
          <w:rFonts w:ascii="Times New Roman" w:hAnsi="Times New Roman" w:cs="Times New Roman"/>
          <w:sz w:val="24"/>
          <w:szCs w:val="24"/>
        </w:rPr>
        <w:lastRenderedPageBreak/>
        <w:t>agents. However, in both of these studies only the monoesters of fatty acids (monoglycerides or propylene glycol monoesters) could be solidified by using PEG 3350 or Poloxamer 188. More recently, it has been observed in our laboratory that a triglyceride may also</w:t>
      </w:r>
      <w:r>
        <w:rPr>
          <w:rFonts w:ascii="Times New Roman" w:hAnsi="Times New Roman" w:cs="Times New Roman"/>
          <w:sz w:val="24"/>
          <w:szCs w:val="24"/>
        </w:rPr>
        <w:t xml:space="preserve"> be solidified by using lauroyl </w:t>
      </w:r>
      <w:r w:rsidRPr="00B13F50">
        <w:rPr>
          <w:rFonts w:ascii="Times New Roman" w:hAnsi="Times New Roman" w:cs="Times New Roman"/>
          <w:sz w:val="24"/>
          <w:szCs w:val="24"/>
        </w:rPr>
        <w:t>polyoxyl glycerides (Acconon C-44, ABITEC; Gelucire 44/14, Gattefosse) as the solidifying agent</w:t>
      </w:r>
      <w:r w:rsidR="00FB28AF">
        <w:rPr>
          <w:rFonts w:ascii="Times New Roman" w:hAnsi="Times New Roman" w:cs="Times New Roman"/>
          <w:sz w:val="24"/>
          <w:szCs w:val="24"/>
        </w:rPr>
        <w:t xml:space="preserve"> (12)</w:t>
      </w:r>
      <w:r w:rsidRPr="00B13F50">
        <w:rPr>
          <w:rFonts w:ascii="Times New Roman" w:hAnsi="Times New Roman" w:cs="Times New Roman"/>
          <w:sz w:val="24"/>
          <w:szCs w:val="24"/>
        </w:rPr>
        <w:t>. As high as 70% w/w of a medium chain triglyceride, Captex 355</w:t>
      </w:r>
      <w:r w:rsidR="00F2245B">
        <w:rPr>
          <w:rFonts w:ascii="Times New Roman" w:hAnsi="Times New Roman" w:cs="Times New Roman"/>
          <w:sz w:val="24"/>
          <w:szCs w:val="24"/>
        </w:rPr>
        <w:t>,</w:t>
      </w:r>
      <w:r w:rsidRPr="00B13F50">
        <w:rPr>
          <w:rFonts w:ascii="Times New Roman" w:hAnsi="Times New Roman" w:cs="Times New Roman"/>
          <w:sz w:val="24"/>
          <w:szCs w:val="24"/>
        </w:rPr>
        <w:t xml:space="preserve"> could be incorporated in the formulation by still maintaining its solid or semisolid consistency such that the formulation could be </w:t>
      </w:r>
      <w:r w:rsidR="00F2245B">
        <w:rPr>
          <w:rFonts w:ascii="Times New Roman" w:hAnsi="Times New Roman" w:cs="Times New Roman"/>
          <w:sz w:val="24"/>
          <w:szCs w:val="24"/>
        </w:rPr>
        <w:t>developed as</w:t>
      </w:r>
      <w:r w:rsidRPr="00B13F50">
        <w:rPr>
          <w:rFonts w:ascii="Times New Roman" w:hAnsi="Times New Roman" w:cs="Times New Roman"/>
          <w:sz w:val="24"/>
          <w:szCs w:val="24"/>
        </w:rPr>
        <w:t xml:space="preserve"> hard gelatin capsules. It was, however, noted in this study that, despite being</w:t>
      </w:r>
      <w:r>
        <w:rPr>
          <w:rFonts w:ascii="Times New Roman" w:hAnsi="Times New Roman" w:cs="Times New Roman"/>
          <w:sz w:val="24"/>
          <w:szCs w:val="24"/>
        </w:rPr>
        <w:t xml:space="preserve"> amphiphilic in nature, lauroyl </w:t>
      </w:r>
      <w:r w:rsidRPr="00B13F50">
        <w:rPr>
          <w:rFonts w:ascii="Times New Roman" w:hAnsi="Times New Roman" w:cs="Times New Roman"/>
          <w:sz w:val="24"/>
          <w:szCs w:val="24"/>
        </w:rPr>
        <w:t xml:space="preserve">polyoxyl glycerides were unable to disperse or emulsify the triglyceride present when the solid formulation was brought in contact with aqueous media. A second surfactant, Cremophor EL, was necessary to develop a solid formulation that was self-emulsifying. </w:t>
      </w:r>
      <w:r w:rsidR="001472D6">
        <w:rPr>
          <w:rFonts w:ascii="Times New Roman" w:hAnsi="Times New Roman" w:cs="Times New Roman"/>
          <w:sz w:val="24"/>
          <w:szCs w:val="24"/>
        </w:rPr>
        <w:t>However,</w:t>
      </w:r>
      <w:r w:rsidRPr="00B13F50">
        <w:rPr>
          <w:rFonts w:ascii="Times New Roman" w:hAnsi="Times New Roman" w:cs="Times New Roman"/>
          <w:sz w:val="24"/>
          <w:szCs w:val="24"/>
        </w:rPr>
        <w:t xml:space="preserve"> there was a maximum amount of liquid component that could be present in the solid system, </w:t>
      </w:r>
      <w:r w:rsidR="001472D6">
        <w:rPr>
          <w:rFonts w:ascii="Times New Roman" w:hAnsi="Times New Roman" w:cs="Times New Roman"/>
          <w:sz w:val="24"/>
          <w:szCs w:val="24"/>
        </w:rPr>
        <w:t xml:space="preserve">and, therefore, </w:t>
      </w:r>
      <w:r w:rsidRPr="00B13F50">
        <w:rPr>
          <w:rFonts w:ascii="Times New Roman" w:hAnsi="Times New Roman" w:cs="Times New Roman"/>
          <w:sz w:val="24"/>
          <w:szCs w:val="24"/>
        </w:rPr>
        <w:t xml:space="preserve">the addition of Cremophor EL reduced the amount of Captex 355 present. For example, the </w:t>
      </w:r>
      <w:r w:rsidR="001472D6">
        <w:rPr>
          <w:rFonts w:ascii="Times New Roman" w:hAnsi="Times New Roman" w:cs="Times New Roman"/>
          <w:sz w:val="24"/>
          <w:szCs w:val="24"/>
        </w:rPr>
        <w:t xml:space="preserve">maximum </w:t>
      </w:r>
      <w:r w:rsidRPr="00B13F50">
        <w:rPr>
          <w:rFonts w:ascii="Times New Roman" w:hAnsi="Times New Roman" w:cs="Times New Roman"/>
          <w:sz w:val="24"/>
          <w:szCs w:val="24"/>
        </w:rPr>
        <w:t>amount of the triglyceride present in the formulation was only 35% w/w</w:t>
      </w:r>
      <w:r w:rsidR="001472D6">
        <w:rPr>
          <w:rFonts w:ascii="Times New Roman" w:hAnsi="Times New Roman" w:cs="Times New Roman"/>
          <w:sz w:val="24"/>
          <w:szCs w:val="24"/>
        </w:rPr>
        <w:t xml:space="preserve"> </w:t>
      </w:r>
      <w:r w:rsidR="001472D6" w:rsidRPr="00B13F50">
        <w:rPr>
          <w:rFonts w:ascii="Times New Roman" w:hAnsi="Times New Roman" w:cs="Times New Roman"/>
          <w:sz w:val="24"/>
          <w:szCs w:val="24"/>
        </w:rPr>
        <w:t>if Acconon C-44 or Gelucire 44/14 could accommodate 70% w/w li</w:t>
      </w:r>
      <w:r w:rsidR="001472D6">
        <w:rPr>
          <w:rFonts w:ascii="Times New Roman" w:hAnsi="Times New Roman" w:cs="Times New Roman"/>
          <w:sz w:val="24"/>
          <w:szCs w:val="24"/>
        </w:rPr>
        <w:t xml:space="preserve">quid in the solid system and </w:t>
      </w:r>
      <w:r w:rsidR="001472D6" w:rsidRPr="00B13F50">
        <w:rPr>
          <w:rFonts w:ascii="Times New Roman" w:hAnsi="Times New Roman" w:cs="Times New Roman"/>
          <w:sz w:val="24"/>
          <w:szCs w:val="24"/>
        </w:rPr>
        <w:t>the liquid was a 1:1-mixture of Captex 355 and Cremophor EL,</w:t>
      </w:r>
      <w:r w:rsidRPr="00B13F50">
        <w:rPr>
          <w:rFonts w:ascii="Times New Roman" w:hAnsi="Times New Roman" w:cs="Times New Roman"/>
          <w:sz w:val="24"/>
          <w:szCs w:val="24"/>
        </w:rPr>
        <w:t xml:space="preserve">. </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0F72AC" w:rsidRPr="00B405A0" w:rsidRDefault="00E61F41" w:rsidP="00B405A0">
      <w:pPr>
        <w:autoSpaceDE w:val="0"/>
        <w:autoSpaceDN w:val="0"/>
        <w:adjustRightInd w:val="0"/>
        <w:spacing w:after="0" w:line="480" w:lineRule="auto"/>
        <w:jc w:val="both"/>
        <w:rPr>
          <w:rFonts w:ascii="Times New Roman" w:hAnsi="Times New Roman" w:cs="Times New Roman"/>
          <w:color w:val="000000"/>
          <w:sz w:val="24"/>
          <w:szCs w:val="24"/>
          <w:shd w:val="clear" w:color="auto" w:fill="FFFFFF"/>
        </w:rPr>
      </w:pPr>
      <w:r w:rsidRPr="00B13F50">
        <w:rPr>
          <w:rFonts w:ascii="Times New Roman" w:hAnsi="Times New Roman" w:cs="Times New Roman"/>
          <w:sz w:val="24"/>
          <w:szCs w:val="24"/>
        </w:rPr>
        <w:t xml:space="preserve">One of the limiting factors in the development of lipid-based drug delivery systems is the limited solubility of drugs in lipids used. Most of the NCEs have relatively low lipid solubility. To maximize the drug load of a formulation, it is essential that lipid content of the formulation should be as high as possible. In our continued efforts to develop solid SEDDS, we observed that </w:t>
      </w:r>
      <w:r w:rsidRPr="00B13F50">
        <w:rPr>
          <w:rStyle w:val="apple-style-span"/>
          <w:rFonts w:ascii="Times New Roman" w:hAnsi="Times New Roman" w:cs="Times New Roman"/>
          <w:color w:val="000000"/>
          <w:sz w:val="24"/>
          <w:szCs w:val="24"/>
          <w:shd w:val="clear" w:color="auto" w:fill="FFFFFF"/>
        </w:rPr>
        <w:t>stearoyl polyoxyl-32 glycerides (Acconon C-50, ABITEC or Gelucir</w:t>
      </w:r>
      <w:r w:rsidR="00CF7A63">
        <w:rPr>
          <w:rStyle w:val="apple-style-span"/>
          <w:rFonts w:ascii="Times New Roman" w:hAnsi="Times New Roman" w:cs="Times New Roman"/>
          <w:color w:val="000000"/>
          <w:sz w:val="24"/>
          <w:szCs w:val="24"/>
          <w:shd w:val="clear" w:color="auto" w:fill="FFFFFF"/>
        </w:rPr>
        <w:t>e 50/13, Gattefosse)</w:t>
      </w:r>
      <w:r w:rsidRPr="00B13F50">
        <w:rPr>
          <w:rStyle w:val="apple-style-span"/>
          <w:rFonts w:ascii="Times New Roman" w:hAnsi="Times New Roman" w:cs="Times New Roman"/>
          <w:color w:val="000000"/>
          <w:sz w:val="24"/>
          <w:szCs w:val="24"/>
          <w:shd w:val="clear" w:color="auto" w:fill="FFFFFF"/>
        </w:rPr>
        <w:t xml:space="preserve"> </w:t>
      </w:r>
      <w:r w:rsidRPr="00B13F50">
        <w:rPr>
          <w:rFonts w:ascii="Times New Roman" w:hAnsi="Times New Roman" w:cs="Times New Roman"/>
          <w:sz w:val="24"/>
          <w:szCs w:val="24"/>
        </w:rPr>
        <w:t xml:space="preserve">may serve as both solidifying and emulsifying agents for triglycerides.  The excipient is primarily a </w:t>
      </w:r>
      <w:r w:rsidRPr="00B13F50">
        <w:rPr>
          <w:rFonts w:ascii="Times New Roman" w:hAnsi="Times New Roman" w:cs="Times New Roman"/>
          <w:sz w:val="24"/>
          <w:szCs w:val="24"/>
        </w:rPr>
        <w:lastRenderedPageBreak/>
        <w:t>mixture of PEG 1500 mono- and diesters with palmitic (C</w:t>
      </w:r>
      <w:r w:rsidRPr="00B13F50">
        <w:rPr>
          <w:rFonts w:ascii="Times New Roman" w:hAnsi="Times New Roman" w:cs="Times New Roman"/>
          <w:sz w:val="24"/>
          <w:szCs w:val="24"/>
          <w:vertAlign w:val="subscript"/>
        </w:rPr>
        <w:t>16</w:t>
      </w:r>
      <w:r w:rsidRPr="00B13F50">
        <w:rPr>
          <w:rFonts w:ascii="Times New Roman" w:hAnsi="Times New Roman" w:cs="Times New Roman"/>
          <w:sz w:val="24"/>
          <w:szCs w:val="24"/>
        </w:rPr>
        <w:t>) and stearic (C</w:t>
      </w:r>
      <w:r w:rsidRPr="00B13F50">
        <w:rPr>
          <w:rFonts w:ascii="Times New Roman" w:hAnsi="Times New Roman" w:cs="Times New Roman"/>
          <w:sz w:val="24"/>
          <w:szCs w:val="24"/>
          <w:vertAlign w:val="subscript"/>
        </w:rPr>
        <w:t>18</w:t>
      </w:r>
      <w:r w:rsidRPr="00B13F50">
        <w:rPr>
          <w:rFonts w:ascii="Times New Roman" w:hAnsi="Times New Roman" w:cs="Times New Roman"/>
          <w:sz w:val="24"/>
          <w:szCs w:val="24"/>
        </w:rPr>
        <w:t>) acid with an HLB value of ~13</w:t>
      </w:r>
      <w:r w:rsidR="00FB28AF">
        <w:rPr>
          <w:rFonts w:ascii="Times New Roman" w:hAnsi="Times New Roman" w:cs="Times New Roman"/>
          <w:sz w:val="24"/>
          <w:szCs w:val="24"/>
        </w:rPr>
        <w:t xml:space="preserve"> (13)</w:t>
      </w:r>
      <w:r w:rsidRPr="00B13F50">
        <w:rPr>
          <w:rFonts w:ascii="Times New Roman" w:hAnsi="Times New Roman" w:cs="Times New Roman"/>
          <w:sz w:val="24"/>
          <w:szCs w:val="24"/>
        </w:rPr>
        <w:t xml:space="preserve">.  It was </w:t>
      </w:r>
      <w:r w:rsidRPr="00B13F50">
        <w:rPr>
          <w:rFonts w:ascii="Times New Roman" w:hAnsi="Times New Roman" w:cs="Times New Roman"/>
          <w:color w:val="000000"/>
          <w:sz w:val="24"/>
          <w:szCs w:val="24"/>
        </w:rPr>
        <w:t>used for the development of solid dispersion hydrophobic drugs</w:t>
      </w:r>
      <w:r w:rsidR="00FB28AF">
        <w:rPr>
          <w:rFonts w:ascii="Times New Roman" w:hAnsi="Times New Roman" w:cs="Times New Roman"/>
          <w:color w:val="000000"/>
          <w:sz w:val="24"/>
          <w:szCs w:val="24"/>
        </w:rPr>
        <w:t xml:space="preserve"> (14-18)</w:t>
      </w:r>
      <w:r w:rsidRPr="00B13F50">
        <w:rPr>
          <w:rFonts w:ascii="Times New Roman" w:hAnsi="Times New Roman" w:cs="Times New Roman"/>
          <w:color w:val="000000"/>
          <w:sz w:val="24"/>
          <w:szCs w:val="24"/>
        </w:rPr>
        <w:t xml:space="preserve"> with the potential for improving oral bioavailability</w:t>
      </w:r>
      <w:r w:rsidR="00FB28AF">
        <w:rPr>
          <w:rFonts w:ascii="Times New Roman" w:hAnsi="Times New Roman" w:cs="Times New Roman"/>
          <w:color w:val="000000"/>
          <w:sz w:val="24"/>
          <w:szCs w:val="24"/>
        </w:rPr>
        <w:t xml:space="preserve"> (19, 20)</w:t>
      </w:r>
      <w:r w:rsidRPr="00B13F50">
        <w:rPr>
          <w:rFonts w:ascii="Times New Roman" w:hAnsi="Times New Roman" w:cs="Times New Roman"/>
          <w:color w:val="000000"/>
          <w:sz w:val="24"/>
          <w:szCs w:val="24"/>
        </w:rPr>
        <w:t>. There is, however, a potential that the drug may crystallize out from solid dispersion as both the drug and the carrier are solid at room temperature</w:t>
      </w:r>
      <w:r w:rsidR="00FB28AF">
        <w:rPr>
          <w:rFonts w:ascii="Times New Roman" w:hAnsi="Times New Roman" w:cs="Times New Roman"/>
          <w:color w:val="000000"/>
          <w:sz w:val="24"/>
          <w:szCs w:val="24"/>
        </w:rPr>
        <w:t xml:space="preserve"> (8, 21)</w:t>
      </w:r>
      <w:r w:rsidRPr="00B13F50">
        <w:rPr>
          <w:rFonts w:ascii="Times New Roman" w:hAnsi="Times New Roman" w:cs="Times New Roman"/>
          <w:color w:val="000000"/>
          <w:sz w:val="24"/>
          <w:szCs w:val="24"/>
        </w:rPr>
        <w:t>. The present report describes a novel application</w:t>
      </w:r>
      <w:r w:rsidR="00EA4BC1">
        <w:rPr>
          <w:rFonts w:ascii="Times New Roman" w:hAnsi="Times New Roman" w:cs="Times New Roman"/>
          <w:color w:val="000000"/>
          <w:sz w:val="24"/>
          <w:szCs w:val="24"/>
        </w:rPr>
        <w:t xml:space="preserve"> of Acconon C-50 and Gelucire </w:t>
      </w:r>
      <w:r w:rsidR="00B4461C">
        <w:rPr>
          <w:rFonts w:ascii="Times New Roman" w:hAnsi="Times New Roman" w:cs="Times New Roman"/>
          <w:color w:val="000000"/>
          <w:sz w:val="24"/>
          <w:szCs w:val="24"/>
        </w:rPr>
        <w:t>50/13</w:t>
      </w:r>
      <w:r w:rsidR="00D017AF">
        <w:rPr>
          <w:rFonts w:ascii="Times New Roman" w:hAnsi="Times New Roman" w:cs="Times New Roman"/>
          <w:color w:val="000000"/>
          <w:sz w:val="24"/>
          <w:szCs w:val="24"/>
        </w:rPr>
        <w:t>,</w:t>
      </w:r>
      <w:r w:rsidRPr="00B13F50">
        <w:rPr>
          <w:rFonts w:ascii="Times New Roman" w:hAnsi="Times New Roman" w:cs="Times New Roman"/>
          <w:color w:val="000000"/>
          <w:sz w:val="24"/>
          <w:szCs w:val="24"/>
        </w:rPr>
        <w:t xml:space="preserve"> where the drug remains in solution in the liquid triglyceride and the solution can be incorporated in the solid matrix as a dispersed but separate phase. After oral administration, the solid formulation would self-emulsify without the need for any additional surfactant. </w:t>
      </w:r>
      <w:r w:rsidRPr="00B13F50">
        <w:rPr>
          <w:rStyle w:val="apple-style-span"/>
          <w:rFonts w:ascii="Times New Roman" w:hAnsi="Times New Roman" w:cs="Times New Roman"/>
          <w:color w:val="000000"/>
          <w:sz w:val="24"/>
          <w:szCs w:val="24"/>
          <w:shd w:val="clear" w:color="auto" w:fill="FFFFFF"/>
        </w:rPr>
        <w:t>Stearoyl polyoxyl-32 glycerides from two different manufacture</w:t>
      </w:r>
      <w:r w:rsidR="00B4461C">
        <w:rPr>
          <w:rStyle w:val="apple-style-span"/>
          <w:rFonts w:ascii="Times New Roman" w:hAnsi="Times New Roman" w:cs="Times New Roman"/>
          <w:color w:val="000000"/>
          <w:sz w:val="24"/>
          <w:szCs w:val="24"/>
          <w:shd w:val="clear" w:color="auto" w:fill="FFFFFF"/>
        </w:rPr>
        <w:t>r</w:t>
      </w:r>
      <w:r w:rsidRPr="00B13F50">
        <w:rPr>
          <w:rStyle w:val="apple-style-span"/>
          <w:rFonts w:ascii="Times New Roman" w:hAnsi="Times New Roman" w:cs="Times New Roman"/>
          <w:color w:val="000000"/>
          <w:sz w:val="24"/>
          <w:szCs w:val="24"/>
          <w:shd w:val="clear" w:color="auto" w:fill="FFFFFF"/>
        </w:rPr>
        <w:t>s were used in the present study to determine whether materials from both sources behave similarly.</w:t>
      </w:r>
      <w:r w:rsidR="00CF7A63">
        <w:rPr>
          <w:rStyle w:val="apple-style-span"/>
          <w:rFonts w:ascii="Times New Roman" w:hAnsi="Times New Roman" w:cs="Times New Roman"/>
          <w:color w:val="000000"/>
          <w:sz w:val="24"/>
          <w:szCs w:val="24"/>
          <w:shd w:val="clear" w:color="auto" w:fill="FFFFFF"/>
        </w:rPr>
        <w:t xml:space="preserve"> </w:t>
      </w:r>
      <w:r w:rsidR="00CF7A63" w:rsidRPr="00B4461C">
        <w:rPr>
          <w:rFonts w:ascii="Times New Roman" w:hAnsi="Times New Roman" w:cs="Times New Roman"/>
          <w:sz w:val="24"/>
          <w:szCs w:val="24"/>
        </w:rPr>
        <w:t>Probucol, a practicall</w:t>
      </w:r>
      <w:r w:rsidR="00B405A0" w:rsidRPr="00B4461C">
        <w:rPr>
          <w:rFonts w:ascii="Times New Roman" w:hAnsi="Times New Roman" w:cs="Times New Roman"/>
          <w:sz w:val="24"/>
          <w:szCs w:val="24"/>
        </w:rPr>
        <w:t xml:space="preserve">y water-insoluble compound (0.002-0.005 </w:t>
      </w:r>
      <w:r w:rsidR="00CF7A63" w:rsidRPr="00B4461C">
        <w:rPr>
          <w:rFonts w:ascii="Times New Roman" w:hAnsi="Times New Roman" w:cs="Times New Roman"/>
          <w:sz w:val="24"/>
          <w:szCs w:val="24"/>
        </w:rPr>
        <w:t xml:space="preserve">µg/mL at 25 ºC) </w:t>
      </w:r>
      <w:r w:rsidR="00B405A0" w:rsidRPr="00B4461C">
        <w:rPr>
          <w:rFonts w:ascii="Times New Roman" w:hAnsi="Times New Roman" w:cs="Times New Roman"/>
          <w:sz w:val="24"/>
          <w:szCs w:val="24"/>
        </w:rPr>
        <w:t>with high partition coefficient (LogP = 11)</w:t>
      </w:r>
      <w:r w:rsidR="00A93DF4" w:rsidRPr="00B4461C">
        <w:rPr>
          <w:rFonts w:ascii="Times New Roman" w:hAnsi="Times New Roman" w:cs="Times New Roman"/>
          <w:sz w:val="24"/>
          <w:szCs w:val="24"/>
        </w:rPr>
        <w:t>,</w:t>
      </w:r>
      <w:r w:rsidR="00B405A0" w:rsidRPr="00B4461C">
        <w:rPr>
          <w:rFonts w:ascii="Times New Roman" w:hAnsi="Times New Roman" w:cs="Times New Roman"/>
          <w:sz w:val="24"/>
          <w:szCs w:val="24"/>
        </w:rPr>
        <w:t xml:space="preserve"> </w:t>
      </w:r>
      <w:r w:rsidR="00CF7A63" w:rsidRPr="00B4461C">
        <w:rPr>
          <w:rFonts w:ascii="Times New Roman" w:hAnsi="Times New Roman" w:cs="Times New Roman"/>
          <w:sz w:val="24"/>
          <w:szCs w:val="24"/>
        </w:rPr>
        <w:t>was used as the model drug</w:t>
      </w:r>
      <w:r w:rsidR="00B405A0" w:rsidRPr="00B4461C">
        <w:rPr>
          <w:rFonts w:ascii="Times New Roman" w:hAnsi="Times New Roman" w:cs="Times New Roman"/>
          <w:sz w:val="24"/>
          <w:szCs w:val="24"/>
        </w:rPr>
        <w:t xml:space="preserve"> </w:t>
      </w:r>
      <w:r w:rsidR="00B405A0" w:rsidRPr="00B4461C">
        <w:rPr>
          <w:rFonts w:ascii="Times New Roman" w:hAnsi="Times New Roman"/>
          <w:sz w:val="24"/>
          <w:szCs w:val="24"/>
        </w:rPr>
        <w:t>(22, 23)</w:t>
      </w:r>
    </w:p>
    <w:p w:rsidR="000F72AC" w:rsidRPr="00B13F50" w:rsidRDefault="000F72AC" w:rsidP="00E61F41">
      <w:pPr>
        <w:autoSpaceDE w:val="0"/>
        <w:autoSpaceDN w:val="0"/>
        <w:adjustRightInd w:val="0"/>
        <w:spacing w:after="0" w:line="480" w:lineRule="auto"/>
        <w:jc w:val="both"/>
        <w:rPr>
          <w:rFonts w:ascii="Times New Roman" w:hAnsi="Times New Roman" w:cs="Times New Roman"/>
          <w:color w:val="000000"/>
          <w:sz w:val="24"/>
          <w:szCs w:val="24"/>
        </w:rPr>
      </w:pPr>
    </w:p>
    <w:p w:rsidR="00E61F41" w:rsidRPr="00B13F50" w:rsidRDefault="00E61F41" w:rsidP="00E61F41">
      <w:pPr>
        <w:autoSpaceDE w:val="0"/>
        <w:autoSpaceDN w:val="0"/>
        <w:adjustRightInd w:val="0"/>
        <w:spacing w:after="0" w:line="480" w:lineRule="auto"/>
        <w:rPr>
          <w:rFonts w:ascii="Times New Roman" w:hAnsi="Times New Roman" w:cs="Times New Roman"/>
          <w:color w:val="000000"/>
          <w:sz w:val="24"/>
          <w:szCs w:val="24"/>
          <w:shd w:val="clear" w:color="auto" w:fill="FFFFFF"/>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b/>
          <w:sz w:val="24"/>
          <w:szCs w:val="24"/>
        </w:rPr>
        <w:t>MATERIALS AND METHOD</w:t>
      </w:r>
      <w:r w:rsidR="00323C40">
        <w:rPr>
          <w:rFonts w:ascii="Times New Roman" w:hAnsi="Times New Roman" w:cs="Times New Roman"/>
          <w:b/>
          <w:sz w:val="24"/>
          <w:szCs w:val="24"/>
        </w:rPr>
        <w:t>S</w:t>
      </w:r>
    </w:p>
    <w:p w:rsidR="00E61F41" w:rsidRPr="00B13F50" w:rsidRDefault="00E61F41" w:rsidP="00E61F41">
      <w:pPr>
        <w:spacing w:line="480" w:lineRule="auto"/>
        <w:jc w:val="both"/>
        <w:rPr>
          <w:rFonts w:ascii="Times New Roman" w:hAnsi="Times New Roman" w:cs="Times New Roman"/>
          <w:b/>
          <w:sz w:val="24"/>
          <w:szCs w:val="24"/>
        </w:rPr>
      </w:pPr>
      <w:r w:rsidRPr="00B13F50">
        <w:rPr>
          <w:rFonts w:ascii="Times New Roman" w:hAnsi="Times New Roman" w:cs="Times New Roman"/>
          <w:b/>
          <w:sz w:val="24"/>
          <w:szCs w:val="24"/>
        </w:rPr>
        <w:t>Materials</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Acconon</w:t>
      </w:r>
      <w:r w:rsidRPr="00B13F50">
        <w:rPr>
          <w:rFonts w:ascii="Times New Roman" w:hAnsi="Times New Roman" w:cs="Times New Roman"/>
          <w:sz w:val="24"/>
          <w:szCs w:val="24"/>
          <w:vertAlign w:val="superscript"/>
        </w:rPr>
        <w:t>®</w:t>
      </w:r>
      <w:r w:rsidRPr="00B13F50">
        <w:rPr>
          <w:rFonts w:ascii="Times New Roman" w:hAnsi="Times New Roman" w:cs="Times New Roman"/>
          <w:sz w:val="24"/>
          <w:szCs w:val="24"/>
        </w:rPr>
        <w:t xml:space="preserve"> C-50 EP/NF and Gelucire</w:t>
      </w:r>
      <w:r w:rsidRPr="00B13F50">
        <w:rPr>
          <w:rFonts w:ascii="Times New Roman" w:hAnsi="Times New Roman" w:cs="Times New Roman"/>
          <w:sz w:val="24"/>
          <w:szCs w:val="24"/>
          <w:vertAlign w:val="superscript"/>
        </w:rPr>
        <w:t>®</w:t>
      </w:r>
      <w:r w:rsidRPr="00B13F50">
        <w:rPr>
          <w:rFonts w:ascii="Times New Roman" w:hAnsi="Times New Roman" w:cs="Times New Roman"/>
          <w:sz w:val="24"/>
          <w:szCs w:val="24"/>
        </w:rPr>
        <w:t xml:space="preserve"> 50/13 EP/NF (stearoyl polyoxyl-32 glycerides) were, respectively, received from ABITEC Corp., Columbus, OH, USA and Gattefosse Corp., Paramus, NJ, USA. Captex 355 EP/NF (caprylic/capric triglyceride) was supplied by ABITEC Corp. Probucol was purchased from Sigma Aldrich, St. Louis, MO, USA. Nile red, a fluorescence probe for lipids, was purchased from MP Biomedicals, Solon, OH, USA. All other chemicals and reagents used were of analytical grade or better.</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r w:rsidRPr="00B13F50">
        <w:rPr>
          <w:rFonts w:ascii="Times New Roman" w:hAnsi="Times New Roman" w:cs="Times New Roman"/>
          <w:b/>
          <w:sz w:val="24"/>
          <w:szCs w:val="24"/>
        </w:rPr>
        <w:lastRenderedPageBreak/>
        <w:t>Methods</w:t>
      </w:r>
    </w:p>
    <w:p w:rsidR="00323C40" w:rsidRDefault="00323C40" w:rsidP="00E61F41">
      <w:pPr>
        <w:autoSpaceDE w:val="0"/>
        <w:autoSpaceDN w:val="0"/>
        <w:adjustRightInd w:val="0"/>
        <w:spacing w:after="0" w:line="480" w:lineRule="auto"/>
        <w:jc w:val="both"/>
        <w:rPr>
          <w:rFonts w:ascii="Times New Roman" w:hAnsi="Times New Roman" w:cs="Times New Roman"/>
          <w:b/>
          <w:i/>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b/>
          <w:i/>
          <w:sz w:val="24"/>
          <w:szCs w:val="24"/>
        </w:rPr>
      </w:pPr>
      <w:r w:rsidRPr="00B13F50">
        <w:rPr>
          <w:rFonts w:ascii="Times New Roman" w:hAnsi="Times New Roman" w:cs="Times New Roman"/>
          <w:b/>
          <w:i/>
          <w:sz w:val="24"/>
          <w:szCs w:val="24"/>
        </w:rPr>
        <w:t>Preparation of Formulation</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The samples were prepared using Captex 355 and Acconon C-50 or Gelucire 50/13 at ratios 8:2, 7:3, 6:4, 1:1, 4:6 and 3:7. A batch size of 4</w:t>
      </w:r>
      <w:r w:rsidR="00323C40">
        <w:rPr>
          <w:rFonts w:ascii="Times New Roman" w:hAnsi="Times New Roman" w:cs="Times New Roman"/>
          <w:sz w:val="24"/>
          <w:szCs w:val="24"/>
        </w:rPr>
        <w:t xml:space="preserve"> </w:t>
      </w:r>
      <w:r w:rsidRPr="00B13F50">
        <w:rPr>
          <w:rFonts w:ascii="Times New Roman" w:hAnsi="Times New Roman" w:cs="Times New Roman"/>
          <w:sz w:val="24"/>
          <w:szCs w:val="24"/>
        </w:rPr>
        <w:t>g was prepared in which each solidifying agent was weighed according to its ratios in the mixtures and then melted in glass scintillation vials on a hot plate until a clear solution (~65ºC) resulted. The weighed amounts of lipids were equilibrated at the corresponding temperature and added to the me</w:t>
      </w:r>
      <w:r>
        <w:rPr>
          <w:rFonts w:ascii="Times New Roman" w:hAnsi="Times New Roman" w:cs="Times New Roman"/>
          <w:sz w:val="24"/>
          <w:szCs w:val="24"/>
        </w:rPr>
        <w:t xml:space="preserve">lt. All samples were vortex </w:t>
      </w:r>
      <w:r w:rsidRPr="00B13F50">
        <w:rPr>
          <w:rFonts w:ascii="Times New Roman" w:hAnsi="Times New Roman" w:cs="Times New Roman"/>
          <w:sz w:val="24"/>
          <w:szCs w:val="24"/>
        </w:rPr>
        <w:t xml:space="preserve">mixed (2-3 min) in the molten state to ensure homogeneity. The molten mixtures were then manually filled into #00 hard gelatin capsules (~1g). </w:t>
      </w:r>
      <w:r w:rsidR="00323C40">
        <w:rPr>
          <w:rFonts w:ascii="Times New Roman" w:hAnsi="Times New Roman" w:cs="Times New Roman"/>
          <w:sz w:val="24"/>
          <w:szCs w:val="24"/>
        </w:rPr>
        <w:t>Fill materials of capsules were</w:t>
      </w:r>
      <w:r w:rsidRPr="00B13F50">
        <w:rPr>
          <w:rFonts w:ascii="Times New Roman" w:hAnsi="Times New Roman" w:cs="Times New Roman"/>
          <w:sz w:val="24"/>
          <w:szCs w:val="24"/>
        </w:rPr>
        <w:t xml:space="preserve"> allowed to solidify at room temperature and stored for at least 48 hours prior to analysis. </w:t>
      </w:r>
      <w:r w:rsidR="004B6DCA">
        <w:rPr>
          <w:rFonts w:ascii="Times New Roman" w:hAnsi="Times New Roman" w:cs="Times New Roman"/>
          <w:sz w:val="24"/>
          <w:szCs w:val="24"/>
        </w:rPr>
        <w:t>The solubility of probucol in Captex 355 was determined to be 133 mg/</w:t>
      </w:r>
      <w:r w:rsidR="00CB7477">
        <w:rPr>
          <w:rFonts w:ascii="Times New Roman" w:hAnsi="Times New Roman" w:cs="Times New Roman"/>
          <w:sz w:val="24"/>
          <w:szCs w:val="24"/>
        </w:rPr>
        <w:t>g</w:t>
      </w:r>
      <w:r w:rsidR="004B6DCA">
        <w:rPr>
          <w:rFonts w:ascii="Times New Roman" w:hAnsi="Times New Roman" w:cs="Times New Roman"/>
          <w:sz w:val="24"/>
          <w:szCs w:val="24"/>
        </w:rPr>
        <w:t xml:space="preserve">, and the drug concentration at </w:t>
      </w:r>
      <w:r w:rsidR="00CB7477">
        <w:rPr>
          <w:rFonts w:ascii="Times New Roman" w:hAnsi="Times New Roman" w:cs="Times New Roman"/>
          <w:sz w:val="24"/>
          <w:szCs w:val="24"/>
        </w:rPr>
        <w:t xml:space="preserve">only </w:t>
      </w:r>
      <w:r w:rsidR="004B6DCA">
        <w:rPr>
          <w:rFonts w:ascii="Times New Roman" w:hAnsi="Times New Roman" w:cs="Times New Roman"/>
          <w:sz w:val="24"/>
          <w:szCs w:val="24"/>
        </w:rPr>
        <w:t xml:space="preserve">80% of the saturation solubility in </w:t>
      </w:r>
      <w:r w:rsidR="00CB7477">
        <w:rPr>
          <w:rFonts w:ascii="Times New Roman" w:hAnsi="Times New Roman" w:cs="Times New Roman"/>
          <w:sz w:val="24"/>
          <w:szCs w:val="24"/>
        </w:rPr>
        <w:t xml:space="preserve">the </w:t>
      </w:r>
      <w:r w:rsidR="004B6DCA">
        <w:rPr>
          <w:rFonts w:ascii="Times New Roman" w:hAnsi="Times New Roman" w:cs="Times New Roman"/>
          <w:sz w:val="24"/>
          <w:szCs w:val="24"/>
        </w:rPr>
        <w:t xml:space="preserve">lipid </w:t>
      </w:r>
      <w:r w:rsidR="00CB7477">
        <w:rPr>
          <w:rFonts w:ascii="Times New Roman" w:hAnsi="Times New Roman" w:cs="Times New Roman"/>
          <w:sz w:val="24"/>
          <w:szCs w:val="24"/>
        </w:rPr>
        <w:t>(</w:t>
      </w:r>
      <w:r w:rsidR="00CB7477" w:rsidRPr="00B13F50">
        <w:rPr>
          <w:rFonts w:ascii="Times New Roman" w:hAnsi="Times New Roman" w:cs="Times New Roman"/>
          <w:sz w:val="24"/>
          <w:szCs w:val="24"/>
        </w:rPr>
        <w:t>106 mg/g</w:t>
      </w:r>
      <w:r w:rsidR="00CB7477">
        <w:rPr>
          <w:rFonts w:ascii="Times New Roman" w:hAnsi="Times New Roman" w:cs="Times New Roman"/>
          <w:sz w:val="24"/>
          <w:szCs w:val="24"/>
        </w:rPr>
        <w:t xml:space="preserve">) was incorporated in the formulation. </w:t>
      </w:r>
      <w:r w:rsidRPr="00B13F50">
        <w:rPr>
          <w:rFonts w:ascii="Times New Roman" w:hAnsi="Times New Roman" w:cs="Times New Roman"/>
          <w:sz w:val="24"/>
          <w:szCs w:val="24"/>
        </w:rPr>
        <w:t xml:space="preserve">Thus, when the </w:t>
      </w:r>
      <w:r w:rsidR="00CB7477">
        <w:rPr>
          <w:rFonts w:ascii="Times New Roman" w:hAnsi="Times New Roman" w:cs="Times New Roman"/>
          <w:sz w:val="24"/>
          <w:szCs w:val="24"/>
        </w:rPr>
        <w:t>lipid/solidifying agent ratio was</w:t>
      </w:r>
      <w:r w:rsidRPr="00B13F50">
        <w:rPr>
          <w:rFonts w:ascii="Times New Roman" w:hAnsi="Times New Roman" w:cs="Times New Roman"/>
          <w:sz w:val="24"/>
          <w:szCs w:val="24"/>
        </w:rPr>
        <w:t xml:space="preserve"> 7:3</w:t>
      </w:r>
      <w:r w:rsidR="00CB7477">
        <w:rPr>
          <w:rFonts w:ascii="Times New Roman" w:hAnsi="Times New Roman" w:cs="Times New Roman"/>
          <w:sz w:val="24"/>
          <w:szCs w:val="24"/>
        </w:rPr>
        <w:t xml:space="preserve"> w/w</w:t>
      </w:r>
      <w:r w:rsidRPr="00B13F50">
        <w:rPr>
          <w:rFonts w:ascii="Times New Roman" w:hAnsi="Times New Roman" w:cs="Times New Roman"/>
          <w:sz w:val="24"/>
          <w:szCs w:val="24"/>
        </w:rPr>
        <w:t xml:space="preserve">, </w:t>
      </w:r>
      <w:r w:rsidR="00CB7477">
        <w:rPr>
          <w:rFonts w:ascii="Times New Roman" w:hAnsi="Times New Roman" w:cs="Times New Roman"/>
          <w:sz w:val="24"/>
          <w:szCs w:val="24"/>
        </w:rPr>
        <w:t>there was</w:t>
      </w:r>
      <w:r w:rsidRPr="00B13F50">
        <w:rPr>
          <w:rFonts w:ascii="Times New Roman" w:hAnsi="Times New Roman" w:cs="Times New Roman"/>
          <w:sz w:val="24"/>
          <w:szCs w:val="24"/>
        </w:rPr>
        <w:t xml:space="preserve"> ~74 mg of drug</w:t>
      </w:r>
      <w:r w:rsidR="00CB7477">
        <w:rPr>
          <w:rFonts w:ascii="Times New Roman" w:hAnsi="Times New Roman" w:cs="Times New Roman"/>
          <w:sz w:val="24"/>
          <w:szCs w:val="24"/>
        </w:rPr>
        <w:t xml:space="preserve"> per gram of the solid formulation, and it was ~53 mg/g of formulation at the lipid/solidifying ratio of 1:1 w/w</w:t>
      </w:r>
      <w:r w:rsidRPr="00B13F50">
        <w:rPr>
          <w:rFonts w:ascii="Times New Roman" w:hAnsi="Times New Roman" w:cs="Times New Roman"/>
          <w:sz w:val="24"/>
          <w:szCs w:val="24"/>
        </w:rPr>
        <w:t>.</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b/>
          <w:i/>
          <w:sz w:val="24"/>
          <w:szCs w:val="24"/>
        </w:rPr>
      </w:pPr>
      <w:r w:rsidRPr="00B13F50">
        <w:rPr>
          <w:rFonts w:ascii="Times New Roman" w:hAnsi="Times New Roman" w:cs="Times New Roman"/>
          <w:b/>
          <w:i/>
          <w:sz w:val="24"/>
          <w:szCs w:val="24"/>
        </w:rPr>
        <w:t xml:space="preserve">Characterization of </w:t>
      </w:r>
      <w:r w:rsidR="00323C40">
        <w:rPr>
          <w:rFonts w:ascii="Times New Roman" w:hAnsi="Times New Roman" w:cs="Times New Roman"/>
          <w:b/>
          <w:i/>
          <w:sz w:val="24"/>
          <w:szCs w:val="24"/>
        </w:rPr>
        <w:t>f</w:t>
      </w:r>
      <w:r w:rsidRPr="00B13F50">
        <w:rPr>
          <w:rFonts w:ascii="Times New Roman" w:hAnsi="Times New Roman" w:cs="Times New Roman"/>
          <w:b/>
          <w:i/>
          <w:sz w:val="24"/>
          <w:szCs w:val="24"/>
        </w:rPr>
        <w:t>ormulation</w:t>
      </w:r>
    </w:p>
    <w:p w:rsidR="00E61F41" w:rsidRPr="00B13F50" w:rsidRDefault="00E61F41" w:rsidP="00E61F41">
      <w:pPr>
        <w:autoSpaceDE w:val="0"/>
        <w:autoSpaceDN w:val="0"/>
        <w:adjustRightInd w:val="0"/>
        <w:spacing w:after="0" w:line="480" w:lineRule="auto"/>
        <w:jc w:val="both"/>
        <w:rPr>
          <w:rFonts w:ascii="Times New Roman" w:hAnsi="Times New Roman" w:cs="Times New Roman"/>
          <w:b/>
          <w:i/>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All of the solid systems, with and without drug, were characterized by pow</w:t>
      </w:r>
      <w:r w:rsidR="00323C40">
        <w:rPr>
          <w:rFonts w:ascii="Times New Roman" w:hAnsi="Times New Roman" w:cs="Times New Roman"/>
          <w:sz w:val="24"/>
          <w:szCs w:val="24"/>
        </w:rPr>
        <w:t>der-X-ray diffractometry</w:t>
      </w:r>
      <w:r w:rsidRPr="00B13F50">
        <w:rPr>
          <w:rFonts w:ascii="Times New Roman" w:hAnsi="Times New Roman" w:cs="Times New Roman"/>
          <w:sz w:val="24"/>
          <w:szCs w:val="24"/>
        </w:rPr>
        <w:t xml:space="preserve"> and differential scanning calorimetry (DSC). Selected solid systems were also examined microscopically to ascertain the microstructure of the lipid within the solid emulsifier.</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b/>
          <w:i/>
          <w:sz w:val="24"/>
          <w:szCs w:val="24"/>
        </w:rPr>
      </w:pPr>
      <w:r w:rsidRPr="00B13F50">
        <w:rPr>
          <w:rFonts w:ascii="Times New Roman" w:eastAsia="Times New Roman" w:hAnsi="Times New Roman" w:cs="Times New Roman"/>
          <w:i/>
          <w:iCs/>
          <w:sz w:val="24"/>
          <w:szCs w:val="24"/>
        </w:rPr>
        <w:lastRenderedPageBreak/>
        <w:t>Powder X-ray diffractometry (P-XRD)</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 xml:space="preserve">The </w:t>
      </w:r>
      <w:r w:rsidR="00323C40">
        <w:rPr>
          <w:rFonts w:ascii="Times New Roman" w:hAnsi="Times New Roman" w:cs="Times New Roman"/>
          <w:sz w:val="24"/>
          <w:szCs w:val="24"/>
        </w:rPr>
        <w:t>P-XRD</w:t>
      </w:r>
      <w:r w:rsidRPr="00B13F50">
        <w:rPr>
          <w:rFonts w:ascii="Times New Roman" w:hAnsi="Times New Roman" w:cs="Times New Roman"/>
          <w:sz w:val="24"/>
          <w:szCs w:val="24"/>
        </w:rPr>
        <w:t xml:space="preserve"> patterns were measured by Shim</w:t>
      </w:r>
      <w:r w:rsidR="00376070">
        <w:rPr>
          <w:rFonts w:ascii="Times New Roman" w:hAnsi="Times New Roman" w:cs="Times New Roman"/>
          <w:sz w:val="24"/>
          <w:szCs w:val="24"/>
        </w:rPr>
        <w:t>adzu</w:t>
      </w:r>
      <w:r w:rsidRPr="00B13F50">
        <w:rPr>
          <w:rFonts w:ascii="Times New Roman" w:hAnsi="Times New Roman" w:cs="Times New Roman"/>
          <w:sz w:val="24"/>
          <w:szCs w:val="24"/>
        </w:rPr>
        <w:t xml:space="preserve"> XRD-6000 (Shimadzu, Kyoto, Japan) using a voltage of 40kV and a current of 30mA over a 2θ range of 10-80º using a step size of 0.02º at a scan speed of 4º/ minute. The results were compared by measuring the approximate peak intensity at 2θ = 23.3º.</w:t>
      </w:r>
    </w:p>
    <w:p w:rsidR="00E61F41" w:rsidRPr="00B13F50" w:rsidRDefault="00E61F41" w:rsidP="00E61F41">
      <w:pPr>
        <w:autoSpaceDE w:val="0"/>
        <w:autoSpaceDN w:val="0"/>
        <w:adjustRightInd w:val="0"/>
        <w:spacing w:after="0" w:line="480" w:lineRule="auto"/>
        <w:jc w:val="both"/>
        <w:rPr>
          <w:rFonts w:ascii="Times New Roman" w:hAnsi="Times New Roman" w:cs="Times New Roman"/>
          <w:i/>
          <w:sz w:val="24"/>
          <w:szCs w:val="24"/>
        </w:rPr>
      </w:pPr>
    </w:p>
    <w:p w:rsidR="00E61F41" w:rsidRPr="00B13F50" w:rsidRDefault="00323C40" w:rsidP="00E61F41">
      <w:pPr>
        <w:autoSpaceDE w:val="0"/>
        <w:autoSpaceDN w:val="0"/>
        <w:adjustRightInd w:val="0"/>
        <w:spacing w:after="0"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Differential scanning c</w:t>
      </w:r>
      <w:r w:rsidR="00E61F41" w:rsidRPr="00B13F50">
        <w:rPr>
          <w:rFonts w:ascii="Times New Roman" w:eastAsia="Times New Roman" w:hAnsi="Times New Roman" w:cs="Times New Roman"/>
          <w:i/>
          <w:iCs/>
          <w:sz w:val="24"/>
          <w:szCs w:val="24"/>
        </w:rPr>
        <w:t>alorimetry (DSC)</w:t>
      </w:r>
    </w:p>
    <w:p w:rsidR="00E61F41" w:rsidRPr="00B13F50" w:rsidRDefault="00E61F41" w:rsidP="00E61F41">
      <w:pPr>
        <w:autoSpaceDE w:val="0"/>
        <w:autoSpaceDN w:val="0"/>
        <w:adjustRightInd w:val="0"/>
        <w:spacing w:after="0" w:line="480" w:lineRule="auto"/>
        <w:jc w:val="both"/>
        <w:rPr>
          <w:rFonts w:ascii="Times New Roman" w:hAnsi="Times New Roman" w:cs="Times New Roman"/>
          <w:b/>
          <w:i/>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The thermal characteristics of solidifying agents (neat Acconon C-50 and Gelucire 50/13) and formulations were determined using a differential scanning calorimeter (Pyris Diamond, Perkin-Elmer DSC-7, CA, USA). Samples were accurately weighed (2-5 mg) and sealed into aluminum pans by crimping. The scans for all samples were recorded by holding for 5 minutes at initial temperature (2</w:t>
      </w:r>
      <w:r w:rsidRPr="00B13F50">
        <w:rPr>
          <w:rFonts w:ascii="Times New Roman" w:eastAsia="Times New Roman" w:hAnsi="Times New Roman" w:cs="Times New Roman"/>
          <w:sz w:val="24"/>
          <w:szCs w:val="24"/>
        </w:rPr>
        <w:t>0ºC)</w:t>
      </w:r>
      <w:r w:rsidRPr="00B13F50">
        <w:rPr>
          <w:rFonts w:ascii="Times New Roman" w:hAnsi="Times New Roman" w:cs="Times New Roman"/>
          <w:sz w:val="24"/>
          <w:szCs w:val="24"/>
        </w:rPr>
        <w:t xml:space="preserve"> and then heating from 20-60ºC (5ºC/min) under an extra dry nitrogen gas purge (20 mL/min).</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376070" w:rsidP="00E61F41">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Microscopic</w:t>
      </w:r>
      <w:r w:rsidR="00E61F41" w:rsidRPr="00B13F50">
        <w:rPr>
          <w:rFonts w:ascii="Times New Roman" w:eastAsia="Times New Roman" w:hAnsi="Times New Roman" w:cs="Times New Roman"/>
          <w:i/>
          <w:iCs/>
          <w:sz w:val="24"/>
          <w:szCs w:val="24"/>
        </w:rPr>
        <w:t xml:space="preserve"> Examination</w:t>
      </w:r>
      <w:r w:rsidR="00E61F41" w:rsidRPr="00B13F50">
        <w:rPr>
          <w:rFonts w:ascii="Times New Roman" w:hAnsi="Times New Roman" w:cs="Times New Roman"/>
          <w:sz w:val="24"/>
          <w:szCs w:val="24"/>
        </w:rPr>
        <w:t xml:space="preserve"> </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376070" w:rsidP="00E61F41">
      <w:pPr>
        <w:autoSpaceDE w:val="0"/>
        <w:autoSpaceDN w:val="0"/>
        <w:adjustRightInd w:val="0"/>
        <w:spacing w:after="0" w:line="480" w:lineRule="auto"/>
        <w:jc w:val="both"/>
        <w:rPr>
          <w:rFonts w:ascii="Times New Roman" w:eastAsia="Times New Roman" w:hAnsi="Times New Roman" w:cs="Times New Roman"/>
          <w:sz w:val="24"/>
          <w:szCs w:val="24"/>
        </w:rPr>
      </w:pPr>
      <w:r w:rsidRPr="00B13F50">
        <w:rPr>
          <w:rFonts w:ascii="Times New Roman" w:eastAsia="Times New Roman" w:hAnsi="Times New Roman" w:cs="Times New Roman"/>
          <w:sz w:val="24"/>
          <w:szCs w:val="24"/>
        </w:rPr>
        <w:t xml:space="preserve">Solid preconcentrates were analyzed using an optical microscope fitted with cross-polarizing lenses (Nikon Microscope Eclipse </w:t>
      </w:r>
      <w:r>
        <w:rPr>
          <w:rFonts w:ascii="Times New Roman" w:eastAsia="Times New Roman" w:hAnsi="Times New Roman" w:cs="Times New Roman"/>
          <w:sz w:val="24"/>
          <w:szCs w:val="24"/>
        </w:rPr>
        <w:t>50i, Morrell Instrument Co.</w:t>
      </w:r>
      <w:r w:rsidRPr="00B13F50">
        <w:rPr>
          <w:rFonts w:ascii="Times New Roman" w:eastAsia="Times New Roman" w:hAnsi="Times New Roman" w:cs="Times New Roman"/>
          <w:sz w:val="24"/>
          <w:szCs w:val="24"/>
        </w:rPr>
        <w:t>, Melville, NY, USA) and a confocal fluorescence microscope (Leica Microsystems Inc., Exton, PA, USA) with 514 nm excitation, 550-605 nm emission wavelength</w:t>
      </w:r>
      <w:r>
        <w:rPr>
          <w:rFonts w:ascii="Times New Roman" w:eastAsia="Times New Roman" w:hAnsi="Times New Roman" w:cs="Times New Roman"/>
          <w:sz w:val="24"/>
          <w:szCs w:val="24"/>
        </w:rPr>
        <w:t>,</w:t>
      </w:r>
      <w:r w:rsidRPr="00B13F5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 </w:t>
      </w:r>
      <w:r w:rsidRPr="00B13F50">
        <w:rPr>
          <w:rFonts w:ascii="Times New Roman" w:eastAsia="Times New Roman" w:hAnsi="Times New Roman" w:cs="Times New Roman"/>
          <w:sz w:val="24"/>
          <w:szCs w:val="24"/>
        </w:rPr>
        <w:t xml:space="preserve">bandpass filter of DD458-514 nm. </w:t>
      </w:r>
      <w:r w:rsidR="00E61F41" w:rsidRPr="00B13F50">
        <w:rPr>
          <w:rFonts w:ascii="Times New Roman" w:eastAsia="Times New Roman" w:hAnsi="Times New Roman" w:cs="Times New Roman"/>
          <w:sz w:val="24"/>
          <w:szCs w:val="24"/>
        </w:rPr>
        <w:t>For fluorescence microscopy, Nile red, a fluorescent probe for lipids</w:t>
      </w:r>
      <w:r w:rsidR="00317A64">
        <w:rPr>
          <w:rFonts w:ascii="Times New Roman" w:eastAsia="Times New Roman" w:hAnsi="Times New Roman" w:cs="Times New Roman"/>
          <w:sz w:val="24"/>
          <w:szCs w:val="24"/>
        </w:rPr>
        <w:t xml:space="preserve"> (24)</w:t>
      </w:r>
      <w:r w:rsidR="00E61F41" w:rsidRPr="00B13F50">
        <w:rPr>
          <w:rFonts w:ascii="Times New Roman" w:eastAsia="Times New Roman" w:hAnsi="Times New Roman" w:cs="Times New Roman"/>
          <w:sz w:val="24"/>
          <w:szCs w:val="24"/>
        </w:rPr>
        <w:t xml:space="preserve">, was dissolved in Captex </w:t>
      </w:r>
      <w:r w:rsidR="00E61F41" w:rsidRPr="00B13F50">
        <w:rPr>
          <w:rFonts w:ascii="Times New Roman" w:eastAsia="Times New Roman" w:hAnsi="Times New Roman" w:cs="Times New Roman"/>
          <w:sz w:val="24"/>
          <w:szCs w:val="24"/>
        </w:rPr>
        <w:lastRenderedPageBreak/>
        <w:t xml:space="preserve">355 and the colored lipid was then mixed with molten </w:t>
      </w:r>
      <w:r w:rsidR="00E61F41" w:rsidRPr="00B13F50">
        <w:rPr>
          <w:rFonts w:ascii="Times New Roman" w:hAnsi="Times New Roman" w:cs="Times New Roman"/>
          <w:sz w:val="24"/>
          <w:szCs w:val="24"/>
        </w:rPr>
        <w:t xml:space="preserve">Acconon C-50 or Gelucire 50/13 </w:t>
      </w:r>
      <w:r w:rsidR="00E61F41" w:rsidRPr="00B13F50">
        <w:rPr>
          <w:rFonts w:ascii="Times New Roman" w:eastAsia="Times New Roman" w:hAnsi="Times New Roman" w:cs="Times New Roman"/>
          <w:sz w:val="24"/>
          <w:szCs w:val="24"/>
        </w:rPr>
        <w:t xml:space="preserve">at </w:t>
      </w:r>
      <w:r w:rsidR="00323C40">
        <w:rPr>
          <w:rFonts w:ascii="Times New Roman" w:eastAsia="Times New Roman" w:hAnsi="Times New Roman" w:cs="Times New Roman"/>
          <w:sz w:val="24"/>
          <w:szCs w:val="24"/>
        </w:rPr>
        <w:t xml:space="preserve">the </w:t>
      </w:r>
      <w:r w:rsidR="00E61F41" w:rsidRPr="00B13F50">
        <w:rPr>
          <w:rFonts w:ascii="Times New Roman" w:eastAsia="Times New Roman" w:hAnsi="Times New Roman" w:cs="Times New Roman"/>
          <w:sz w:val="24"/>
          <w:szCs w:val="24"/>
        </w:rPr>
        <w:t>1:1 ratio. Two drops of the melt we</w:t>
      </w:r>
      <w:r w:rsidR="00323C40">
        <w:rPr>
          <w:rFonts w:ascii="Times New Roman" w:eastAsia="Times New Roman" w:hAnsi="Times New Roman" w:cs="Times New Roman"/>
          <w:sz w:val="24"/>
          <w:szCs w:val="24"/>
        </w:rPr>
        <w:t>re then placed on a glass slide and</w:t>
      </w:r>
      <w:r w:rsidR="00E61F41" w:rsidRPr="00B13F50">
        <w:rPr>
          <w:rFonts w:ascii="Times New Roman" w:eastAsia="Times New Roman" w:hAnsi="Times New Roman" w:cs="Times New Roman"/>
          <w:sz w:val="24"/>
          <w:szCs w:val="24"/>
        </w:rPr>
        <w:t xml:space="preserve"> covered with glass cover slip, and edges of the cover slip were </w:t>
      </w:r>
      <w:r w:rsidR="008257FF">
        <w:rPr>
          <w:rFonts w:ascii="Times New Roman" w:eastAsia="Times New Roman" w:hAnsi="Times New Roman" w:cs="Times New Roman"/>
          <w:sz w:val="24"/>
          <w:szCs w:val="24"/>
        </w:rPr>
        <w:t xml:space="preserve">then </w:t>
      </w:r>
      <w:r w:rsidR="00E61F41" w:rsidRPr="00B13F50">
        <w:rPr>
          <w:rFonts w:ascii="Times New Roman" w:eastAsia="Times New Roman" w:hAnsi="Times New Roman" w:cs="Times New Roman"/>
          <w:sz w:val="24"/>
          <w:szCs w:val="24"/>
        </w:rPr>
        <w:t>sealed w</w:t>
      </w:r>
      <w:r w:rsidR="008257FF">
        <w:rPr>
          <w:rFonts w:ascii="Times New Roman" w:eastAsia="Times New Roman" w:hAnsi="Times New Roman" w:cs="Times New Roman"/>
          <w:sz w:val="24"/>
          <w:szCs w:val="24"/>
        </w:rPr>
        <w:t xml:space="preserve">ith a nail polish. The </w:t>
      </w:r>
      <w:r w:rsidR="00E61F41" w:rsidRPr="00B13F50">
        <w:rPr>
          <w:rFonts w:ascii="Times New Roman" w:eastAsia="Times New Roman" w:hAnsi="Times New Roman" w:cs="Times New Roman"/>
          <w:sz w:val="24"/>
          <w:szCs w:val="24"/>
        </w:rPr>
        <w:t xml:space="preserve">slides </w:t>
      </w:r>
      <w:r w:rsidR="008257FF">
        <w:rPr>
          <w:rFonts w:ascii="Times New Roman" w:eastAsia="Times New Roman" w:hAnsi="Times New Roman" w:cs="Times New Roman"/>
          <w:sz w:val="24"/>
          <w:szCs w:val="24"/>
        </w:rPr>
        <w:t xml:space="preserve">thus prepared </w:t>
      </w:r>
      <w:r w:rsidR="00E61F41" w:rsidRPr="00B13F50">
        <w:rPr>
          <w:rFonts w:ascii="Times New Roman" w:eastAsia="Times New Roman" w:hAnsi="Times New Roman" w:cs="Times New Roman"/>
          <w:sz w:val="24"/>
          <w:szCs w:val="24"/>
        </w:rPr>
        <w:t>were then allowed to cool in two different ways: (a) letting them cool under ambient condition (shock cooling) and (b) cooling in an oven (GCA/Precision Scientific, Chicago, IL, USA) from 60 to 25ºC at the rate of 0.1ºC/min. Pictures from optical microscopy were captured using a Nikon Digital Camera (100x, DS 5000, Nikon Inc., Melville, NY, USA).</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8257FF" w:rsidP="00E61F41">
      <w:pPr>
        <w:autoSpaceDE w:val="0"/>
        <w:autoSpaceDN w:val="0"/>
        <w:adjustRightInd w:val="0"/>
        <w:spacing w:after="0" w:line="480" w:lineRule="auto"/>
        <w:jc w:val="both"/>
        <w:rPr>
          <w:rFonts w:ascii="Times New Roman" w:hAnsi="Times New Roman" w:cs="Times New Roman"/>
          <w:b/>
          <w:sz w:val="24"/>
          <w:szCs w:val="24"/>
        </w:rPr>
      </w:pPr>
      <w:r>
        <w:rPr>
          <w:rFonts w:ascii="Times New Roman" w:eastAsia="Times New Roman" w:hAnsi="Times New Roman" w:cs="Times New Roman"/>
          <w:b/>
          <w:bCs/>
          <w:i/>
          <w:iCs/>
          <w:sz w:val="24"/>
          <w:szCs w:val="24"/>
        </w:rPr>
        <w:t>Dispersion t</w:t>
      </w:r>
      <w:r w:rsidR="00E61F41" w:rsidRPr="00B13F50">
        <w:rPr>
          <w:rFonts w:ascii="Times New Roman" w:eastAsia="Times New Roman" w:hAnsi="Times New Roman" w:cs="Times New Roman"/>
          <w:b/>
          <w:bCs/>
          <w:i/>
          <w:iCs/>
          <w:sz w:val="24"/>
          <w:szCs w:val="24"/>
        </w:rPr>
        <w:t xml:space="preserve">est  </w:t>
      </w:r>
    </w:p>
    <w:p w:rsidR="008257FF" w:rsidRDefault="008257FF" w:rsidP="00E61F41">
      <w:pPr>
        <w:spacing w:line="480" w:lineRule="auto"/>
        <w:jc w:val="both"/>
        <w:rPr>
          <w:rFonts w:ascii="Times New Roman" w:hAnsi="Times New Roman" w:cs="Times New Roman"/>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 xml:space="preserve">The efficiency of  self-emulsification and dispersion of the formulations were assessed using </w:t>
      </w:r>
      <w:r w:rsidR="008257FF">
        <w:rPr>
          <w:rFonts w:ascii="Times New Roman" w:hAnsi="Times New Roman" w:cs="Times New Roman"/>
          <w:sz w:val="24"/>
          <w:szCs w:val="24"/>
        </w:rPr>
        <w:t>the</w:t>
      </w:r>
      <w:r w:rsidRPr="00B13F50">
        <w:rPr>
          <w:rFonts w:ascii="Times New Roman" w:hAnsi="Times New Roman" w:cs="Times New Roman"/>
          <w:sz w:val="24"/>
          <w:szCs w:val="24"/>
        </w:rPr>
        <w:t xml:space="preserve"> USP apparatus II (50 rpm, 37°C, Paddle method; Distek Inc., NJ, USA) and 250 mL of  0.01N HCl (pH~2) per dispersion vessel. Glass pipettes with siliconized tips were used to withdraw aliquots from dispersion vessels such that there was no loss of dispersed lipids by adherence to pipettes. Aliquots were withdrawn from each vessel at 10,15, 30, 45, 60, 120 and 180 min intervals for particle size analysis using Delsa Nano C Particle Analyzer (Beckman Coulter, Beckman Coulter Inc., CA, USA) by using disposable plastic cuvettes (Beckman Coulter disposable cell, Beckman Coulter Inc., CA, USA). The volume of the dispersion medium was kept constant by replacing the aliquot with equal volume of 0.01N HCl. For formulations containing probucol, samples were also analyzed by HPLC for drug concentration in the dispersion medium. </w:t>
      </w:r>
      <w:r w:rsidR="008257FF">
        <w:rPr>
          <w:rFonts w:ascii="Times New Roman" w:hAnsi="Times New Roman" w:cs="Times New Roman"/>
          <w:sz w:val="24"/>
          <w:szCs w:val="24"/>
        </w:rPr>
        <w:t xml:space="preserve"> </w:t>
      </w:r>
      <w:r w:rsidR="008257FF" w:rsidRPr="00B13F50">
        <w:rPr>
          <w:rFonts w:ascii="Times New Roman" w:hAnsi="Times New Roman" w:cs="Times New Roman"/>
          <w:sz w:val="24"/>
          <w:szCs w:val="24"/>
        </w:rPr>
        <w:t>Aliquots were not filtered prior to analysis for drug concentrations in the dispersion medium as it decreased content due to retention of some lipid globules on filters.</w:t>
      </w: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eastAsia="Times New Roman" w:hAnsi="Times New Roman" w:cs="Times New Roman"/>
          <w:b/>
          <w:bCs/>
          <w:i/>
          <w:iCs/>
          <w:sz w:val="24"/>
          <w:szCs w:val="24"/>
        </w:rPr>
        <w:lastRenderedPageBreak/>
        <w:t>HPLC Analysis</w:t>
      </w: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 xml:space="preserve">The samples </w:t>
      </w:r>
      <w:r w:rsidR="00C137F4">
        <w:rPr>
          <w:rFonts w:ascii="Times New Roman" w:hAnsi="Times New Roman" w:cs="Times New Roman"/>
          <w:sz w:val="24"/>
          <w:szCs w:val="24"/>
        </w:rPr>
        <w:t xml:space="preserve">without filtration </w:t>
      </w:r>
      <w:r w:rsidRPr="00B13F50">
        <w:rPr>
          <w:rFonts w:ascii="Times New Roman" w:hAnsi="Times New Roman" w:cs="Times New Roman"/>
          <w:sz w:val="24"/>
          <w:szCs w:val="24"/>
        </w:rPr>
        <w:t xml:space="preserve">were diluted with methanol prior to dissolve the dispersed oil phase. </w:t>
      </w:r>
      <w:r w:rsidRPr="00B13F50">
        <w:rPr>
          <w:rFonts w:ascii="Times New Roman" w:eastAsia="Times New Roman" w:hAnsi="Times New Roman" w:cs="Times New Roman"/>
          <w:sz w:val="24"/>
          <w:szCs w:val="24"/>
        </w:rPr>
        <w:t>The HPLC analysis system for probucol consisted of a quaternary pump, an Agilent 1100 autosampler and a photodiode array detector (HP 1100 series, Agilent Technologies, Wilmington, DE, USA). The chromatographic column used was a C8 Waters X</w:t>
      </w:r>
      <w:r w:rsidR="00C137F4">
        <w:rPr>
          <w:rFonts w:ascii="Times New Roman" w:eastAsia="Times New Roman" w:hAnsi="Times New Roman" w:cs="Times New Roman"/>
          <w:sz w:val="24"/>
          <w:szCs w:val="24"/>
        </w:rPr>
        <w:t>-</w:t>
      </w:r>
      <w:r w:rsidRPr="00B13F50">
        <w:rPr>
          <w:rFonts w:ascii="Times New Roman" w:eastAsia="Times New Roman" w:hAnsi="Times New Roman" w:cs="Times New Roman"/>
          <w:sz w:val="24"/>
          <w:szCs w:val="24"/>
        </w:rPr>
        <w:t>Bridge column (3.5µm) 4.6 mm x 150 mm. A methanol-water solution (95:5, v/v) was used as the mobile phase at a flow rate of 1 mL/min and the detection wavelength was set at 243 nm.</w:t>
      </w:r>
    </w:p>
    <w:p w:rsidR="00E61F41" w:rsidRPr="00B13F50" w:rsidRDefault="00E61F41" w:rsidP="00E61F41">
      <w:pPr>
        <w:spacing w:line="480" w:lineRule="auto"/>
        <w:jc w:val="both"/>
        <w:rPr>
          <w:rFonts w:ascii="Times New Roman" w:hAnsi="Times New Roman" w:cs="Times New Roman"/>
          <w:b/>
          <w:sz w:val="24"/>
          <w:szCs w:val="24"/>
        </w:rPr>
      </w:pPr>
    </w:p>
    <w:p w:rsidR="00E61F41" w:rsidRPr="00B13F50" w:rsidRDefault="00E61F41" w:rsidP="00E61F41">
      <w:pPr>
        <w:spacing w:line="480" w:lineRule="auto"/>
        <w:jc w:val="both"/>
        <w:rPr>
          <w:rFonts w:ascii="Times New Roman" w:hAnsi="Times New Roman" w:cs="Times New Roman"/>
          <w:b/>
          <w:sz w:val="24"/>
          <w:szCs w:val="24"/>
        </w:rPr>
      </w:pPr>
      <w:r w:rsidRPr="00B13F50">
        <w:rPr>
          <w:rFonts w:ascii="Times New Roman" w:hAnsi="Times New Roman" w:cs="Times New Roman"/>
          <w:b/>
          <w:sz w:val="24"/>
          <w:szCs w:val="24"/>
        </w:rPr>
        <w:t>RESULTS AND DISCUSSION</w:t>
      </w:r>
    </w:p>
    <w:p w:rsidR="00F067BC" w:rsidRDefault="00F067BC" w:rsidP="00E61F41">
      <w:pPr>
        <w:spacing w:line="480" w:lineRule="auto"/>
        <w:jc w:val="both"/>
        <w:rPr>
          <w:rFonts w:ascii="Times New Roman" w:hAnsi="Times New Roman" w:cs="Times New Roman"/>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Preliminary experiments were conducted by incorporating monoglyceride (Capmul MCM) and triglyceride (Captex 355) with Acconon C-50 or Gelucire 50/13 at various ratios. The mixtures were then evaluated visually for their physical consistency. It was observed that the formulations containin</w:t>
      </w:r>
      <w:r>
        <w:rPr>
          <w:rFonts w:ascii="Times New Roman" w:hAnsi="Times New Roman" w:cs="Times New Roman"/>
          <w:sz w:val="24"/>
          <w:szCs w:val="24"/>
        </w:rPr>
        <w:t>g monoglycerides did not solidif</w:t>
      </w:r>
      <w:r w:rsidRPr="00B13F50">
        <w:rPr>
          <w:rFonts w:ascii="Times New Roman" w:hAnsi="Times New Roman" w:cs="Times New Roman"/>
          <w:sz w:val="24"/>
          <w:szCs w:val="24"/>
        </w:rPr>
        <w:t xml:space="preserve">y and there was phase separation of liquid lipid when the concentration of the liquid was &gt;50% w/w. On the other hand, the triglyceride could be incorporated in the solid formulation to a concentration as high as 80% w/w, thus showing that stearoyl polyoxyl glycerides are suitable solidifying agents for the triglyceride. The solid systems formed </w:t>
      </w:r>
      <w:r>
        <w:rPr>
          <w:rFonts w:ascii="Times New Roman" w:hAnsi="Times New Roman" w:cs="Times New Roman"/>
          <w:sz w:val="24"/>
          <w:szCs w:val="24"/>
        </w:rPr>
        <w:t xml:space="preserve">by </w:t>
      </w:r>
      <w:r w:rsidRPr="00B13F50">
        <w:rPr>
          <w:rFonts w:ascii="Times New Roman" w:hAnsi="Times New Roman" w:cs="Times New Roman"/>
          <w:sz w:val="24"/>
          <w:szCs w:val="24"/>
        </w:rPr>
        <w:t xml:space="preserve">Acconon C-50 and Gelucire 50/13 with up to 50% w/w triglyceride were waxy but hard enough that it was difficult to scrape them with plastic spatula. As the concentration of lipid was further increased in the formulation to as high as 80% w/w, the consistency of the formulations changed from solid to semi-solid. However, they were still hard enough that they </w:t>
      </w:r>
      <w:r w:rsidRPr="00B13F50">
        <w:rPr>
          <w:rFonts w:ascii="Times New Roman" w:hAnsi="Times New Roman" w:cs="Times New Roman"/>
          <w:sz w:val="24"/>
          <w:szCs w:val="24"/>
        </w:rPr>
        <w:lastRenderedPageBreak/>
        <w:t>did not flow even upon applying stress. Further studies were then continued using the triglyceride.</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C137F4" w:rsidP="00E61F41">
      <w:pPr>
        <w:spacing w:line="480" w:lineRule="auto"/>
        <w:jc w:val="both"/>
        <w:rPr>
          <w:rFonts w:ascii="Times New Roman" w:hAnsi="Times New Roman" w:cs="Times New Roman"/>
          <w:b/>
          <w:sz w:val="24"/>
          <w:szCs w:val="24"/>
        </w:rPr>
      </w:pPr>
      <w:r>
        <w:rPr>
          <w:rFonts w:ascii="Times New Roman" w:eastAsia="Times New Roman" w:hAnsi="Times New Roman" w:cs="Times New Roman"/>
          <w:b/>
          <w:bCs/>
          <w:i/>
          <w:iCs/>
          <w:sz w:val="24"/>
          <w:szCs w:val="24"/>
        </w:rPr>
        <w:t>Physicochemical c</w:t>
      </w:r>
      <w:r w:rsidR="00E61F41" w:rsidRPr="00B13F50">
        <w:rPr>
          <w:rFonts w:ascii="Times New Roman" w:eastAsia="Times New Roman" w:hAnsi="Times New Roman" w:cs="Times New Roman"/>
          <w:b/>
          <w:bCs/>
          <w:i/>
          <w:iCs/>
          <w:sz w:val="24"/>
          <w:szCs w:val="24"/>
        </w:rPr>
        <w:t>haracteriz</w:t>
      </w:r>
      <w:r>
        <w:rPr>
          <w:rFonts w:ascii="Times New Roman" w:eastAsia="Times New Roman" w:hAnsi="Times New Roman" w:cs="Times New Roman"/>
          <w:b/>
          <w:bCs/>
          <w:i/>
          <w:iCs/>
          <w:sz w:val="24"/>
          <w:szCs w:val="24"/>
        </w:rPr>
        <w:t>ation of f</w:t>
      </w:r>
      <w:r w:rsidR="00E61F41" w:rsidRPr="00B13F50">
        <w:rPr>
          <w:rFonts w:ascii="Times New Roman" w:eastAsia="Times New Roman" w:hAnsi="Times New Roman" w:cs="Times New Roman"/>
          <w:b/>
          <w:bCs/>
          <w:i/>
          <w:iCs/>
          <w:sz w:val="24"/>
          <w:szCs w:val="24"/>
        </w:rPr>
        <w:t>ormulations</w:t>
      </w:r>
    </w:p>
    <w:p w:rsidR="00E61F41" w:rsidRPr="00B13F50" w:rsidRDefault="00E61F41" w:rsidP="00E61F41">
      <w:pPr>
        <w:spacing w:line="480" w:lineRule="auto"/>
        <w:jc w:val="both"/>
        <w:rPr>
          <w:rFonts w:ascii="Times New Roman" w:hAnsi="Times New Roman" w:cs="Times New Roman"/>
          <w:b/>
          <w:sz w:val="24"/>
          <w:szCs w:val="24"/>
        </w:rPr>
      </w:pPr>
      <w:r w:rsidRPr="00B13F50">
        <w:rPr>
          <w:rFonts w:ascii="Times New Roman" w:eastAsia="Times New Roman" w:hAnsi="Times New Roman" w:cs="Times New Roman"/>
          <w:i/>
          <w:iCs/>
          <w:sz w:val="24"/>
          <w:szCs w:val="24"/>
        </w:rPr>
        <w:t>Powder X-ray diffractometry</w:t>
      </w:r>
    </w:p>
    <w:p w:rsidR="00E61F41" w:rsidRPr="00B13F50" w:rsidRDefault="00C137F4" w:rsidP="00E61F41">
      <w:pPr>
        <w:spacing w:line="480" w:lineRule="auto"/>
        <w:jc w:val="both"/>
        <w:rPr>
          <w:rFonts w:ascii="Times New Roman" w:hAnsi="Times New Roman" w:cs="Times New Roman"/>
          <w:sz w:val="24"/>
          <w:szCs w:val="24"/>
        </w:rPr>
      </w:pPr>
      <w:r>
        <w:rPr>
          <w:rFonts w:ascii="Times New Roman" w:hAnsi="Times New Roman" w:cs="Times New Roman"/>
          <w:sz w:val="24"/>
          <w:szCs w:val="24"/>
        </w:rPr>
        <w:t>The P-</w:t>
      </w:r>
      <w:r w:rsidR="00E61F41" w:rsidRPr="00B13F50">
        <w:rPr>
          <w:rFonts w:ascii="Times New Roman" w:hAnsi="Times New Roman" w:cs="Times New Roman"/>
          <w:sz w:val="24"/>
          <w:szCs w:val="24"/>
        </w:rPr>
        <w:t>XRD pattern</w:t>
      </w:r>
      <w:r>
        <w:rPr>
          <w:rFonts w:ascii="Times New Roman" w:hAnsi="Times New Roman" w:cs="Times New Roman"/>
          <w:sz w:val="24"/>
          <w:szCs w:val="24"/>
        </w:rPr>
        <w:t>s</w:t>
      </w:r>
      <w:r w:rsidR="00E61F41" w:rsidRPr="00B13F50">
        <w:rPr>
          <w:rFonts w:ascii="Times New Roman" w:hAnsi="Times New Roman" w:cs="Times New Roman"/>
          <w:sz w:val="24"/>
          <w:szCs w:val="24"/>
        </w:rPr>
        <w:t xml:space="preserve"> of solid system containing varying ratios of Captex 355 and Acconon C-50 or Gelucire 50/13 </w:t>
      </w:r>
      <w:r>
        <w:rPr>
          <w:rFonts w:ascii="Times New Roman" w:hAnsi="Times New Roman" w:cs="Times New Roman"/>
          <w:sz w:val="24"/>
          <w:szCs w:val="24"/>
        </w:rPr>
        <w:t>are</w:t>
      </w:r>
      <w:r w:rsidR="00E61F41" w:rsidRPr="00B13F50">
        <w:rPr>
          <w:rFonts w:ascii="Times New Roman" w:hAnsi="Times New Roman" w:cs="Times New Roman"/>
          <w:sz w:val="24"/>
          <w:szCs w:val="24"/>
        </w:rPr>
        <w:t xml:space="preserve"> shown in Fig 1. There was a gradual decrease in peak heights as the concentration of the lipid increased and, consequently, the concentration of the solidifying agent decreased in the formulations. The presence of peaks in the mixtures at the same 2θ values as those of neat solidifying agents demonstrated </w:t>
      </w:r>
      <w:r>
        <w:rPr>
          <w:rFonts w:ascii="Times New Roman" w:hAnsi="Times New Roman" w:cs="Times New Roman"/>
          <w:sz w:val="24"/>
          <w:szCs w:val="24"/>
        </w:rPr>
        <w:t xml:space="preserve">that </w:t>
      </w:r>
      <w:r w:rsidR="00E61F41" w:rsidRPr="00B13F50">
        <w:rPr>
          <w:rFonts w:ascii="Times New Roman" w:hAnsi="Times New Roman" w:cs="Times New Roman"/>
          <w:sz w:val="24"/>
          <w:szCs w:val="24"/>
        </w:rPr>
        <w:t>the crystallinity</w:t>
      </w:r>
      <w:r w:rsidR="00E61F41">
        <w:rPr>
          <w:rFonts w:ascii="Times New Roman" w:hAnsi="Times New Roman" w:cs="Times New Roman"/>
          <w:sz w:val="24"/>
          <w:szCs w:val="24"/>
        </w:rPr>
        <w:t xml:space="preserve"> of Acconon C-50</w:t>
      </w:r>
      <w:r w:rsidR="00E61F41" w:rsidRPr="00B13F50">
        <w:rPr>
          <w:rFonts w:ascii="Times New Roman" w:hAnsi="Times New Roman" w:cs="Times New Roman"/>
          <w:sz w:val="24"/>
          <w:szCs w:val="24"/>
        </w:rPr>
        <w:t xml:space="preserve"> and Gelucire 50/13 </w:t>
      </w:r>
      <w:r>
        <w:rPr>
          <w:rFonts w:ascii="Times New Roman" w:hAnsi="Times New Roman" w:cs="Times New Roman"/>
          <w:sz w:val="24"/>
          <w:szCs w:val="24"/>
        </w:rPr>
        <w:t>was</w:t>
      </w:r>
      <w:r w:rsidR="00E61F41" w:rsidRPr="00B13F50">
        <w:rPr>
          <w:rFonts w:ascii="Times New Roman" w:hAnsi="Times New Roman" w:cs="Times New Roman"/>
          <w:sz w:val="24"/>
          <w:szCs w:val="24"/>
        </w:rPr>
        <w:t xml:space="preserve"> maintained in the formulat</w:t>
      </w:r>
      <w:r w:rsidR="00E61F41">
        <w:rPr>
          <w:rFonts w:ascii="Times New Roman" w:hAnsi="Times New Roman" w:cs="Times New Roman"/>
          <w:sz w:val="24"/>
          <w:szCs w:val="24"/>
        </w:rPr>
        <w:t>ions. In addition, the decrease</w:t>
      </w:r>
      <w:r w:rsidR="00E61F41" w:rsidRPr="00B13F50">
        <w:rPr>
          <w:rFonts w:ascii="Times New Roman" w:hAnsi="Times New Roman" w:cs="Times New Roman"/>
          <w:sz w:val="24"/>
          <w:szCs w:val="24"/>
        </w:rPr>
        <w:t xml:space="preserve"> in XRD peak heights was proportional to the decrease in concentration of the solidifying agent in the formulation, showing that the presence of lipid did not have an impact on</w:t>
      </w:r>
      <w:r>
        <w:rPr>
          <w:rFonts w:ascii="Times New Roman" w:hAnsi="Times New Roman" w:cs="Times New Roman"/>
          <w:sz w:val="24"/>
          <w:szCs w:val="24"/>
        </w:rPr>
        <w:t xml:space="preserve"> the crystalline nature</w:t>
      </w:r>
      <w:r w:rsidR="00E61F41" w:rsidRPr="00B13F50">
        <w:rPr>
          <w:rFonts w:ascii="Times New Roman" w:hAnsi="Times New Roman" w:cs="Times New Roman"/>
          <w:sz w:val="24"/>
          <w:szCs w:val="24"/>
        </w:rPr>
        <w:t xml:space="preserve"> of the solid component. It was also observed that the presence of drug did n</w:t>
      </w:r>
      <w:r w:rsidR="009340C8">
        <w:rPr>
          <w:rFonts w:ascii="Times New Roman" w:hAnsi="Times New Roman" w:cs="Times New Roman"/>
          <w:sz w:val="24"/>
          <w:szCs w:val="24"/>
        </w:rPr>
        <w:t>ot have an impact on the P-</w:t>
      </w:r>
      <w:r w:rsidR="00E61F41" w:rsidRPr="00B13F50">
        <w:rPr>
          <w:rFonts w:ascii="Times New Roman" w:hAnsi="Times New Roman" w:cs="Times New Roman"/>
          <w:sz w:val="24"/>
          <w:szCs w:val="24"/>
        </w:rPr>
        <w:t>XRD patterns of the formulations</w:t>
      </w:r>
      <w:r w:rsidR="00DC08A0">
        <w:rPr>
          <w:rFonts w:ascii="Times New Roman" w:hAnsi="Times New Roman" w:cs="Times New Roman"/>
          <w:sz w:val="24"/>
          <w:szCs w:val="24"/>
        </w:rPr>
        <w:t xml:space="preserve"> as there were no extra peaks and there were no changes in the existing peaks</w:t>
      </w:r>
      <w:r w:rsidR="00E61F41" w:rsidRPr="00B13F50">
        <w:rPr>
          <w:rFonts w:ascii="Times New Roman" w:hAnsi="Times New Roman" w:cs="Times New Roman"/>
          <w:sz w:val="24"/>
          <w:szCs w:val="24"/>
        </w:rPr>
        <w:t xml:space="preserve"> (data not shown).</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C137F4" w:rsidP="00E61F41">
      <w:pPr>
        <w:spacing w:line="480" w:lineRule="auto"/>
        <w:jc w:val="both"/>
        <w:rPr>
          <w:rFonts w:ascii="Times New Roman" w:hAnsi="Times New Roman" w:cs="Times New Roman"/>
          <w:b/>
          <w:sz w:val="24"/>
          <w:szCs w:val="24"/>
        </w:rPr>
      </w:pPr>
      <w:r>
        <w:rPr>
          <w:rFonts w:ascii="Times New Roman" w:eastAsia="Times New Roman" w:hAnsi="Times New Roman" w:cs="Times New Roman"/>
          <w:i/>
          <w:iCs/>
          <w:sz w:val="24"/>
          <w:szCs w:val="24"/>
        </w:rPr>
        <w:t>Differential scanning c</w:t>
      </w:r>
      <w:r w:rsidR="00E61F41" w:rsidRPr="00B13F50">
        <w:rPr>
          <w:rFonts w:ascii="Times New Roman" w:eastAsia="Times New Roman" w:hAnsi="Times New Roman" w:cs="Times New Roman"/>
          <w:i/>
          <w:iCs/>
          <w:sz w:val="24"/>
          <w:szCs w:val="24"/>
        </w:rPr>
        <w:t>alorimetry</w:t>
      </w:r>
    </w:p>
    <w:p w:rsidR="00FD3681"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The DSC results were in agreement with th</w:t>
      </w:r>
      <w:r w:rsidR="00C137F4">
        <w:rPr>
          <w:rFonts w:ascii="Times New Roman" w:hAnsi="Times New Roman" w:cs="Times New Roman"/>
          <w:sz w:val="24"/>
          <w:szCs w:val="24"/>
        </w:rPr>
        <w:t>ose of P-</w:t>
      </w:r>
      <w:r w:rsidRPr="00B13F50">
        <w:rPr>
          <w:rFonts w:ascii="Times New Roman" w:hAnsi="Times New Roman" w:cs="Times New Roman"/>
          <w:sz w:val="24"/>
          <w:szCs w:val="24"/>
        </w:rPr>
        <w:t xml:space="preserve">XRD analysis. Fig. 2A presents DSC scans of solid system with varying concentrations of Acconon C-50 and Fig.2B shows the same for Gelucire 50/13 formulations.  A gradual decrease in melting endotherms was observed as the </w:t>
      </w:r>
      <w:r w:rsidRPr="00B13F50">
        <w:rPr>
          <w:rFonts w:ascii="Times New Roman" w:hAnsi="Times New Roman" w:cs="Times New Roman"/>
          <w:sz w:val="24"/>
          <w:szCs w:val="24"/>
        </w:rPr>
        <w:lastRenderedPageBreak/>
        <w:t>lipid content increased in the formulations. The decrease in enthalpy was, however, proportional to the decrease in the concentration of the solidifying agent, again demonstrating that the solidifying agents crystallized at room</w:t>
      </w:r>
      <w:r w:rsidR="00B4461C">
        <w:rPr>
          <w:rFonts w:ascii="Times New Roman" w:hAnsi="Times New Roman" w:cs="Times New Roman"/>
          <w:sz w:val="24"/>
          <w:szCs w:val="24"/>
        </w:rPr>
        <w:t xml:space="preserve"> temperature</w:t>
      </w:r>
      <w:r w:rsidRPr="00B13F50">
        <w:rPr>
          <w:rFonts w:ascii="Times New Roman" w:hAnsi="Times New Roman" w:cs="Times New Roman"/>
          <w:sz w:val="24"/>
          <w:szCs w:val="24"/>
        </w:rPr>
        <w:t xml:space="preserve"> to the extent of their initial concentrations in the formulations.</w:t>
      </w:r>
    </w:p>
    <w:p w:rsidR="00FD3681" w:rsidRDefault="00FD368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FD3681" w:rsidP="00E61F41">
      <w:pPr>
        <w:autoSpaceDE w:val="0"/>
        <w:autoSpaceDN w:val="0"/>
        <w:adjustRightInd w:val="0"/>
        <w:spacing w:after="0" w:line="480" w:lineRule="auto"/>
        <w:jc w:val="both"/>
        <w:rPr>
          <w:rFonts w:ascii="Times New Roman" w:hAnsi="Times New Roman" w:cs="Times New Roman"/>
          <w:sz w:val="24"/>
          <w:szCs w:val="24"/>
        </w:rPr>
      </w:pPr>
      <w:r w:rsidRPr="00B4461C">
        <w:rPr>
          <w:rFonts w:ascii="Times New Roman" w:hAnsi="Times New Roman" w:cs="Times New Roman"/>
          <w:sz w:val="24"/>
          <w:szCs w:val="24"/>
        </w:rPr>
        <w:t xml:space="preserve">Shallow exothermic peaks at about 35-38 </w:t>
      </w:r>
      <w:r w:rsidRPr="00B4461C">
        <w:rPr>
          <w:rFonts w:ascii="Calibri" w:hAnsi="Calibri" w:cs="Times New Roman"/>
          <w:sz w:val="24"/>
          <w:szCs w:val="24"/>
        </w:rPr>
        <w:t>⁰</w:t>
      </w:r>
      <w:r w:rsidRPr="00B4461C">
        <w:rPr>
          <w:rFonts w:ascii="Times New Roman" w:hAnsi="Times New Roman" w:cs="Times New Roman"/>
          <w:sz w:val="24"/>
          <w:szCs w:val="24"/>
        </w:rPr>
        <w:t>C were observed in most of the DSC scans, which were th</w:t>
      </w:r>
      <w:r w:rsidR="00376070" w:rsidRPr="00B4461C">
        <w:rPr>
          <w:rFonts w:ascii="Times New Roman" w:hAnsi="Times New Roman" w:cs="Times New Roman"/>
          <w:sz w:val="24"/>
          <w:szCs w:val="24"/>
        </w:rPr>
        <w:t>en followed by the melting ende</w:t>
      </w:r>
      <w:r w:rsidRPr="00B4461C">
        <w:rPr>
          <w:rFonts w:ascii="Times New Roman" w:hAnsi="Times New Roman" w:cs="Times New Roman"/>
          <w:sz w:val="24"/>
          <w:szCs w:val="24"/>
        </w:rPr>
        <w:t xml:space="preserve">therms at about 42-45 </w:t>
      </w:r>
      <w:r w:rsidRPr="00B4461C">
        <w:rPr>
          <w:rFonts w:ascii="Calibri" w:hAnsi="Calibri" w:cs="Times New Roman"/>
          <w:sz w:val="24"/>
          <w:szCs w:val="24"/>
        </w:rPr>
        <w:t>⁰</w:t>
      </w:r>
      <w:r w:rsidRPr="00B4461C">
        <w:rPr>
          <w:rFonts w:ascii="Times New Roman" w:hAnsi="Times New Roman" w:cs="Times New Roman"/>
          <w:sz w:val="24"/>
          <w:szCs w:val="24"/>
        </w:rPr>
        <w:t>C. The exotherms appear to be due to the partial recrystallization of Acconon C-50 or Gelucire 50/13 crystals. As discussed in the next section, the microscopic examination revealed that smaller and irregular crystals of the solidifying agents were formed when the hot solut</w:t>
      </w:r>
      <w:r w:rsidR="00E64BE9" w:rsidRPr="00B4461C">
        <w:rPr>
          <w:rFonts w:ascii="Times New Roman" w:hAnsi="Times New Roman" w:cs="Times New Roman"/>
          <w:sz w:val="24"/>
          <w:szCs w:val="24"/>
        </w:rPr>
        <w:t>ions were let solidify at room temperature at an uncontrolled rate. For the preparation of materials for DSC studies, the normal manufacturing condition was mimicked by filling the capsules with the molten mass and then letting capsule contents solidify at room temperature. It is possible that during such cooling, part of the solidifying agents did not crystallize properly, which underwent recrystallization during the reheating and was responsible for the exothermic peaks. The significance of such events on the performance of the formulations was not investigated in the present study.</w:t>
      </w:r>
      <w:r w:rsidR="00E64BE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61F41" w:rsidRPr="00B13F50" w:rsidRDefault="00E61F41" w:rsidP="00E61F41">
      <w:pPr>
        <w:spacing w:line="480" w:lineRule="auto"/>
        <w:jc w:val="both"/>
        <w:rPr>
          <w:rFonts w:ascii="Times New Roman" w:eastAsia="Times New Roman" w:hAnsi="Times New Roman" w:cs="Times New Roman"/>
          <w:bCs/>
          <w:i/>
          <w:iCs/>
          <w:sz w:val="24"/>
          <w:szCs w:val="24"/>
        </w:rPr>
      </w:pPr>
    </w:p>
    <w:p w:rsidR="00E61F41" w:rsidRDefault="00FD3681" w:rsidP="00E61F41">
      <w:pPr>
        <w:spacing w:line="48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Microscopic e</w:t>
      </w:r>
      <w:r w:rsidR="00E61F41" w:rsidRPr="00B13F50">
        <w:rPr>
          <w:rFonts w:ascii="Times New Roman" w:eastAsia="Times New Roman" w:hAnsi="Times New Roman" w:cs="Times New Roman"/>
          <w:bCs/>
          <w:i/>
          <w:iCs/>
          <w:sz w:val="24"/>
          <w:szCs w:val="24"/>
        </w:rPr>
        <w:t>xamination</w:t>
      </w:r>
    </w:p>
    <w:p w:rsidR="00E64BE9" w:rsidRPr="00B13F50" w:rsidRDefault="00E64BE9" w:rsidP="00E61F41">
      <w:pPr>
        <w:spacing w:line="480" w:lineRule="auto"/>
        <w:jc w:val="both"/>
        <w:rPr>
          <w:rFonts w:ascii="Times New Roman" w:hAnsi="Times New Roman" w:cs="Times New Roman"/>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 xml:space="preserve">The results of the microscopic examination of solid preconcentrates are shown in Fig 3. There are several reports in the literature </w:t>
      </w:r>
      <w:r w:rsidR="00D63E3F">
        <w:rPr>
          <w:rFonts w:ascii="Times New Roman" w:hAnsi="Times New Roman" w:cs="Times New Roman"/>
          <w:sz w:val="24"/>
          <w:szCs w:val="24"/>
        </w:rPr>
        <w:t>indicating</w:t>
      </w:r>
      <w:r w:rsidRPr="00B13F50">
        <w:rPr>
          <w:rFonts w:ascii="Times New Roman" w:hAnsi="Times New Roman" w:cs="Times New Roman"/>
          <w:sz w:val="24"/>
          <w:szCs w:val="24"/>
        </w:rPr>
        <w:t xml:space="preserve"> that PEG forms crystalline spherulites upon cooling from the melt</w:t>
      </w:r>
      <w:r w:rsidR="00D63E3F">
        <w:rPr>
          <w:rFonts w:ascii="Times New Roman" w:hAnsi="Times New Roman" w:cs="Times New Roman"/>
          <w:sz w:val="24"/>
          <w:szCs w:val="24"/>
        </w:rPr>
        <w:t xml:space="preserve"> (25</w:t>
      </w:r>
      <w:r w:rsidR="00FB28AF">
        <w:rPr>
          <w:rFonts w:ascii="Times New Roman" w:hAnsi="Times New Roman" w:cs="Times New Roman"/>
          <w:sz w:val="24"/>
          <w:szCs w:val="24"/>
        </w:rPr>
        <w:t>-2</w:t>
      </w:r>
      <w:r w:rsidR="00D63E3F">
        <w:rPr>
          <w:rFonts w:ascii="Times New Roman" w:hAnsi="Times New Roman" w:cs="Times New Roman"/>
          <w:sz w:val="24"/>
          <w:szCs w:val="24"/>
        </w:rPr>
        <w:t>7</w:t>
      </w:r>
      <w:r w:rsidR="00FB28AF">
        <w:rPr>
          <w:rFonts w:ascii="Times New Roman" w:hAnsi="Times New Roman" w:cs="Times New Roman"/>
          <w:sz w:val="24"/>
          <w:szCs w:val="24"/>
        </w:rPr>
        <w:t>)</w:t>
      </w:r>
      <w:r w:rsidRPr="00B13F50">
        <w:rPr>
          <w:rFonts w:ascii="Times New Roman" w:hAnsi="Times New Roman" w:cs="Times New Roman"/>
          <w:sz w:val="24"/>
          <w:szCs w:val="24"/>
        </w:rPr>
        <w:t xml:space="preserve">. </w:t>
      </w:r>
      <w:r w:rsidR="00D63E3F" w:rsidRPr="00B4461C">
        <w:rPr>
          <w:rFonts w:ascii="Times New Roman" w:hAnsi="Times New Roman" w:cs="Times New Roman"/>
          <w:sz w:val="24"/>
          <w:szCs w:val="24"/>
        </w:rPr>
        <w:t xml:space="preserve">Because of their PEG backbones, it appears that Acconon C-50 and </w:t>
      </w:r>
      <w:r w:rsidR="00D63E3F" w:rsidRPr="00B4461C">
        <w:rPr>
          <w:rFonts w:ascii="Times New Roman" w:hAnsi="Times New Roman" w:cs="Times New Roman"/>
          <w:sz w:val="24"/>
          <w:szCs w:val="24"/>
        </w:rPr>
        <w:lastRenderedPageBreak/>
        <w:t>Gelucire 50/13 also behave similarly.</w:t>
      </w:r>
      <w:r w:rsidR="00D63E3F">
        <w:rPr>
          <w:rFonts w:ascii="Times New Roman" w:hAnsi="Times New Roman" w:cs="Times New Roman"/>
          <w:sz w:val="24"/>
          <w:szCs w:val="24"/>
        </w:rPr>
        <w:t xml:space="preserve"> </w:t>
      </w:r>
      <w:r w:rsidRPr="00B13F50">
        <w:rPr>
          <w:rFonts w:ascii="Times New Roman" w:hAnsi="Times New Roman" w:cs="Times New Roman"/>
          <w:sz w:val="24"/>
          <w:szCs w:val="24"/>
        </w:rPr>
        <w:t>It may be observed from Fig. 3A that the neat stearoyl polyoxyl</w:t>
      </w:r>
      <w:r w:rsidR="00376070">
        <w:rPr>
          <w:rFonts w:ascii="Times New Roman" w:hAnsi="Times New Roman" w:cs="Times New Roman"/>
          <w:sz w:val="24"/>
          <w:szCs w:val="24"/>
        </w:rPr>
        <w:t xml:space="preserve"> </w:t>
      </w:r>
      <w:r w:rsidRPr="00B13F50">
        <w:rPr>
          <w:rFonts w:ascii="Times New Roman" w:hAnsi="Times New Roman" w:cs="Times New Roman"/>
          <w:sz w:val="24"/>
          <w:szCs w:val="24"/>
        </w:rPr>
        <w:t>glyceride</w:t>
      </w:r>
      <w:r w:rsidR="00376070">
        <w:rPr>
          <w:rFonts w:ascii="Times New Roman" w:hAnsi="Times New Roman" w:cs="Times New Roman"/>
          <w:sz w:val="24"/>
          <w:szCs w:val="24"/>
        </w:rPr>
        <w:t>s</w:t>
      </w:r>
      <w:r w:rsidRPr="00B13F50">
        <w:rPr>
          <w:rFonts w:ascii="Times New Roman" w:hAnsi="Times New Roman" w:cs="Times New Roman"/>
          <w:sz w:val="24"/>
          <w:szCs w:val="24"/>
        </w:rPr>
        <w:t xml:space="preserve"> (Acconon C-50) is crystalline and form birefringent spherulites under the cross-polarized light of optical microscope. Although some dark zones may be observed in the spherulites of Acconon C</w:t>
      </w:r>
      <w:r>
        <w:rPr>
          <w:rFonts w:ascii="Times New Roman" w:hAnsi="Times New Roman" w:cs="Times New Roman"/>
          <w:sz w:val="24"/>
          <w:szCs w:val="24"/>
        </w:rPr>
        <w:t>-50, possibly due to the presence</w:t>
      </w:r>
      <w:r w:rsidRPr="00B13F50">
        <w:rPr>
          <w:rFonts w:ascii="Times New Roman" w:hAnsi="Times New Roman" w:cs="Times New Roman"/>
          <w:sz w:val="24"/>
          <w:szCs w:val="24"/>
        </w:rPr>
        <w:t xml:space="preserve"> of amorphous regions in its structures, there were no obvious gaps in between the spherulites. When Captex 355 was added to the fo</w:t>
      </w:r>
      <w:r>
        <w:rPr>
          <w:rFonts w:ascii="Times New Roman" w:hAnsi="Times New Roman" w:cs="Times New Roman"/>
          <w:sz w:val="24"/>
          <w:szCs w:val="24"/>
        </w:rPr>
        <w:t>rmulations, the sph</w:t>
      </w:r>
      <w:r w:rsidR="00376070">
        <w:rPr>
          <w:rFonts w:ascii="Times New Roman" w:hAnsi="Times New Roman" w:cs="Times New Roman"/>
          <w:sz w:val="24"/>
          <w:szCs w:val="24"/>
        </w:rPr>
        <w:t>eru</w:t>
      </w:r>
      <w:r>
        <w:rPr>
          <w:rFonts w:ascii="Times New Roman" w:hAnsi="Times New Roman" w:cs="Times New Roman"/>
          <w:sz w:val="24"/>
          <w:szCs w:val="24"/>
        </w:rPr>
        <w:t xml:space="preserve">lites </w:t>
      </w:r>
      <w:r w:rsidR="00376070">
        <w:rPr>
          <w:rFonts w:ascii="Times New Roman" w:hAnsi="Times New Roman" w:cs="Times New Roman"/>
          <w:sz w:val="24"/>
          <w:szCs w:val="24"/>
        </w:rPr>
        <w:t>sepa</w:t>
      </w:r>
      <w:r w:rsidR="00376070" w:rsidRPr="00B13F50">
        <w:rPr>
          <w:rFonts w:ascii="Times New Roman" w:hAnsi="Times New Roman" w:cs="Times New Roman"/>
          <w:sz w:val="24"/>
          <w:szCs w:val="24"/>
        </w:rPr>
        <w:t>rated</w:t>
      </w:r>
      <w:r w:rsidRPr="00B13F50">
        <w:rPr>
          <w:rFonts w:ascii="Times New Roman" w:hAnsi="Times New Roman" w:cs="Times New Roman"/>
          <w:sz w:val="24"/>
          <w:szCs w:val="24"/>
        </w:rPr>
        <w:t xml:space="preserve"> from each other and the lipid was interspersed in between the spherulites (Fig. 3B and 3C). There was, however, a major impact of the cooling rates of molten liquids on the microstructure of solids formed. Fig 3B shows the optical photomicrograph of the 1:1-mixture of Captex 355 and Acconon C-50, where the molten liquid was cooled on a glass slide by exposing the slide to room temperature right after placing the drops of liquid and the material solidified in &lt;1 min.  The fast cooling did not allow spherulites to grow in a proper manner and thus irregular-needle shaped crystals of polyoxyl</w:t>
      </w:r>
      <w:r w:rsidR="00376070">
        <w:rPr>
          <w:rFonts w:ascii="Times New Roman" w:hAnsi="Times New Roman" w:cs="Times New Roman"/>
          <w:sz w:val="24"/>
          <w:szCs w:val="24"/>
        </w:rPr>
        <w:t xml:space="preserve"> </w:t>
      </w:r>
      <w:r w:rsidRPr="00B13F50">
        <w:rPr>
          <w:rFonts w:ascii="Times New Roman" w:hAnsi="Times New Roman" w:cs="Times New Roman"/>
          <w:sz w:val="24"/>
          <w:szCs w:val="24"/>
        </w:rPr>
        <w:t>glycerides were observed. On the other hand, when the melt was cooled slowly in an oven from 60 º C to room temperature (</w:t>
      </w:r>
      <w:r w:rsidRPr="00B13F50">
        <w:rPr>
          <w:rFonts w:ascii="Times New Roman" w:eastAsia="Times New Roman" w:hAnsi="Times New Roman" w:cs="Times New Roman"/>
          <w:sz w:val="24"/>
          <w:szCs w:val="24"/>
        </w:rPr>
        <w:t>~ 25º C) slowly at a rate of 0.1</w:t>
      </w:r>
      <w:r w:rsidRPr="00B13F50">
        <w:rPr>
          <w:rFonts w:ascii="Calibri" w:eastAsia="Times New Roman" w:hAnsi="Calibri" w:cs="Times New Roman"/>
          <w:sz w:val="24"/>
          <w:szCs w:val="24"/>
        </w:rPr>
        <w:t>⁰</w:t>
      </w:r>
      <w:r w:rsidRPr="00B13F50">
        <w:rPr>
          <w:rFonts w:ascii="Times New Roman" w:eastAsia="Times New Roman" w:hAnsi="Times New Roman" w:cs="Times New Roman"/>
          <w:sz w:val="24"/>
          <w:szCs w:val="24"/>
        </w:rPr>
        <w:t>C/min (Fig. 3C), the spherulites grew and it was clearly visible that liquid phase of Captex 355 was trapped (dark zones) in between crystalline solid structures of Acconon C-50.</w:t>
      </w:r>
      <w:r w:rsidRPr="00B13F50">
        <w:rPr>
          <w:rFonts w:ascii="Times New Roman" w:hAnsi="Times New Roman" w:cs="Times New Roman"/>
          <w:sz w:val="24"/>
          <w:szCs w:val="24"/>
        </w:rPr>
        <w:t xml:space="preserve"> The confocal fluorescence microscopic image in Fig. 3D performed by using Nile red as a fluorescent probe to visualize the non-crystalline region of the system confirmed that the lipid (visualized in red) is located in between crystalline domains of polyoxyl glycerides.</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eastAsia="Times New Roman" w:hAnsi="Times New Roman" w:cs="Times New Roman"/>
          <w:b/>
          <w:bCs/>
          <w:i/>
          <w:iCs/>
          <w:sz w:val="24"/>
          <w:szCs w:val="24"/>
        </w:rPr>
        <w:t>Dispersion Test</w:t>
      </w:r>
      <w:r w:rsidRPr="00B13F50">
        <w:rPr>
          <w:rFonts w:ascii="Times New Roman" w:hAnsi="Times New Roman" w:cs="Times New Roman"/>
          <w:sz w:val="24"/>
          <w:szCs w:val="24"/>
        </w:rPr>
        <w:t xml:space="preserve"> </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 xml:space="preserve">Dispersion profiles of triglyceride formulations in Acconon C-50 and Gelucire 50/13 are shown in Fig 4A and 4B, respectively. Three combinations of Captex 355 to a solidifying agent was </w:t>
      </w:r>
      <w:r w:rsidRPr="00B13F50">
        <w:rPr>
          <w:rFonts w:ascii="Times New Roman" w:hAnsi="Times New Roman" w:cs="Times New Roman"/>
          <w:sz w:val="24"/>
          <w:szCs w:val="24"/>
        </w:rPr>
        <w:lastRenderedPageBreak/>
        <w:t>used: 3:7, 1:1 and 7:3 w/w. Exposure of the solid preconcentrates to 0.1N HCl resulted in opaque emulsions within 20 to 25 min, and the intensity of opaqueness increased with time. It was observed that the solid systems containing 30% and 50% triglyceride (3:7 and 1:1 w/w, respectively) gave more than 80% drug dispersion within 2h and almost complete drug dispersion was observed in 3h. The solid masses did</w:t>
      </w:r>
      <w:r w:rsidR="00A93DF4">
        <w:rPr>
          <w:rFonts w:ascii="Times New Roman" w:hAnsi="Times New Roman" w:cs="Times New Roman"/>
          <w:sz w:val="24"/>
          <w:szCs w:val="24"/>
        </w:rPr>
        <w:t xml:space="preserve"> not disintegrate in dispersion media;</w:t>
      </w:r>
      <w:r w:rsidRPr="00B13F50">
        <w:rPr>
          <w:rFonts w:ascii="Times New Roman" w:hAnsi="Times New Roman" w:cs="Times New Roman"/>
          <w:sz w:val="24"/>
          <w:szCs w:val="24"/>
        </w:rPr>
        <w:t xml:space="preserve"> </w:t>
      </w:r>
      <w:r w:rsidR="00A93DF4">
        <w:rPr>
          <w:rFonts w:ascii="Times New Roman" w:hAnsi="Times New Roman" w:cs="Times New Roman"/>
          <w:sz w:val="24"/>
          <w:szCs w:val="24"/>
        </w:rPr>
        <w:t xml:space="preserve">rather, </w:t>
      </w:r>
      <w:r w:rsidRPr="00B13F50">
        <w:rPr>
          <w:rFonts w:ascii="Times New Roman" w:hAnsi="Times New Roman" w:cs="Times New Roman"/>
          <w:sz w:val="24"/>
          <w:szCs w:val="24"/>
        </w:rPr>
        <w:t xml:space="preserve"> they </w:t>
      </w:r>
      <w:r w:rsidR="00A93DF4">
        <w:rPr>
          <w:rFonts w:ascii="Times New Roman" w:hAnsi="Times New Roman" w:cs="Times New Roman"/>
          <w:sz w:val="24"/>
          <w:szCs w:val="24"/>
        </w:rPr>
        <w:t xml:space="preserve">remained as solid plugs and </w:t>
      </w:r>
      <w:r w:rsidRPr="00B13F50">
        <w:rPr>
          <w:rFonts w:ascii="Times New Roman" w:hAnsi="Times New Roman" w:cs="Times New Roman"/>
          <w:sz w:val="24"/>
          <w:szCs w:val="24"/>
        </w:rPr>
        <w:t xml:space="preserve">dispersed </w:t>
      </w:r>
      <w:r w:rsidR="00A93DF4">
        <w:rPr>
          <w:rFonts w:ascii="Times New Roman" w:hAnsi="Times New Roman" w:cs="Times New Roman"/>
          <w:sz w:val="24"/>
          <w:szCs w:val="24"/>
        </w:rPr>
        <w:t xml:space="preserve">slowly </w:t>
      </w:r>
      <w:r w:rsidRPr="00B13F50">
        <w:rPr>
          <w:rFonts w:ascii="Times New Roman" w:hAnsi="Times New Roman" w:cs="Times New Roman"/>
          <w:sz w:val="24"/>
          <w:szCs w:val="24"/>
        </w:rPr>
        <w:t>by erosion. The relatively slow dispersion rates of the formulations appear to be dependent on their erosion rate. Since the intestinal residence time of a formulation ranges from 3 to 5 h</w:t>
      </w:r>
      <w:r w:rsidR="00A93DF4">
        <w:rPr>
          <w:rFonts w:ascii="Times New Roman" w:hAnsi="Times New Roman" w:cs="Times New Roman"/>
          <w:sz w:val="24"/>
          <w:szCs w:val="24"/>
        </w:rPr>
        <w:t xml:space="preserve"> (28</w:t>
      </w:r>
      <w:r w:rsidR="00FB28AF">
        <w:rPr>
          <w:rFonts w:ascii="Times New Roman" w:hAnsi="Times New Roman" w:cs="Times New Roman"/>
          <w:sz w:val="24"/>
          <w:szCs w:val="24"/>
        </w:rPr>
        <w:t>)</w:t>
      </w:r>
      <w:r w:rsidRPr="00B13F50">
        <w:rPr>
          <w:rFonts w:ascii="Times New Roman" w:hAnsi="Times New Roman" w:cs="Times New Roman"/>
          <w:sz w:val="24"/>
          <w:szCs w:val="24"/>
        </w:rPr>
        <w:t>, it is expected that the drug will be fully released during the transit of the formulations to the GI tract. In case of 70% w/w triglyceride content in the formulation (7:3 w/w), the drug concentration in the dispersion medium almost leveled off in ~45 min after the dispersion of ~40% w/w drug. It appeared that 30% w/w Acconon C-50 or Gelucire 50/13 in the formulation was not able to emulsify the lipid completely and additional surfactant could be necessary for complete dispersion of the lipid. Nonetheless, both Acconon C-50 and Gelucire 50/13 had superior emulsifying properties for Captex 355 than those of Acconon C-44 and Gelucire 44/14, which required additional surfactant at all lipid concentrations</w:t>
      </w:r>
      <w:r w:rsidR="00FB28AF">
        <w:rPr>
          <w:rFonts w:ascii="Times New Roman" w:hAnsi="Times New Roman" w:cs="Times New Roman"/>
          <w:sz w:val="24"/>
          <w:szCs w:val="24"/>
        </w:rPr>
        <w:t xml:space="preserve"> (12)</w:t>
      </w:r>
      <w:r w:rsidRPr="00B13F50">
        <w:rPr>
          <w:rFonts w:ascii="Times New Roman" w:hAnsi="Times New Roman" w:cs="Times New Roman"/>
          <w:sz w:val="24"/>
          <w:szCs w:val="24"/>
        </w:rPr>
        <w:t>.</w:t>
      </w:r>
      <w:r w:rsidR="002B2A3A">
        <w:rPr>
          <w:rFonts w:ascii="Times New Roman" w:hAnsi="Times New Roman" w:cs="Times New Roman"/>
          <w:sz w:val="24"/>
          <w:szCs w:val="24"/>
        </w:rPr>
        <w:t xml:space="preserve"> </w:t>
      </w:r>
      <w:r w:rsidR="002B2A3A" w:rsidRPr="00B4461C">
        <w:rPr>
          <w:rFonts w:ascii="Times New Roman" w:hAnsi="Times New Roman" w:cs="Times New Roman"/>
          <w:sz w:val="24"/>
          <w:szCs w:val="24"/>
        </w:rPr>
        <w:t>Although only the results of dispersion tests at pH 2 are presented in the present report, no change in dispersion between pH 2 and 6.8 was observed in preliminary studies as the drug and various excipients used are nonionic.</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A93DF4"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sz w:val="24"/>
          <w:szCs w:val="24"/>
        </w:rPr>
        <w:t>During dispersion testing, particle size analysis of each sample was performed and the results are shown in Fig 5 and 6.  Although micro emulsions (&lt;200 nm) were not formed, the particle size of the dispersed lipid phase from various formulations were still very fine, mostly in the range o</w:t>
      </w:r>
      <w:r>
        <w:rPr>
          <w:rFonts w:ascii="Times New Roman" w:hAnsi="Times New Roman" w:cs="Times New Roman"/>
          <w:sz w:val="24"/>
          <w:szCs w:val="24"/>
        </w:rPr>
        <w:t xml:space="preserve">f </w:t>
      </w:r>
      <w:r>
        <w:rPr>
          <w:rFonts w:ascii="Times New Roman" w:hAnsi="Times New Roman" w:cs="Times New Roman"/>
          <w:sz w:val="24"/>
          <w:szCs w:val="24"/>
        </w:rPr>
        <w:lastRenderedPageBreak/>
        <w:t>250 to 600 nm</w:t>
      </w:r>
      <w:r w:rsidRPr="00B13F50">
        <w:rPr>
          <w:rFonts w:ascii="Times New Roman" w:hAnsi="Times New Roman" w:cs="Times New Roman"/>
          <w:sz w:val="24"/>
          <w:szCs w:val="24"/>
        </w:rPr>
        <w:t xml:space="preserve">. There was also not much change in particle size of the dispersed lipid as the concentration of the dispersed phase increased with time. </w:t>
      </w:r>
    </w:p>
    <w:p w:rsidR="00E61F41" w:rsidRPr="00B13F50" w:rsidRDefault="00763428" w:rsidP="00E61F41">
      <w:pPr>
        <w:spacing w:line="480" w:lineRule="auto"/>
        <w:jc w:val="both"/>
        <w:rPr>
          <w:rFonts w:ascii="Times New Roman" w:hAnsi="Times New Roman" w:cs="Times New Roman"/>
          <w:sz w:val="24"/>
          <w:szCs w:val="24"/>
        </w:rPr>
      </w:pPr>
      <w:r w:rsidRPr="00B4461C">
        <w:rPr>
          <w:rFonts w:ascii="Times New Roman" w:hAnsi="Times New Roman" w:cs="Times New Roman"/>
          <w:sz w:val="24"/>
          <w:szCs w:val="24"/>
        </w:rPr>
        <w:t xml:space="preserve">Another aspect of the dispersion test was to determine whether there was any crystallization </w:t>
      </w:r>
      <w:r w:rsidR="00376070" w:rsidRPr="00B4461C">
        <w:rPr>
          <w:rFonts w:ascii="Times New Roman" w:hAnsi="Times New Roman" w:cs="Times New Roman"/>
          <w:sz w:val="24"/>
          <w:szCs w:val="24"/>
        </w:rPr>
        <w:t>of</w:t>
      </w:r>
      <w:r w:rsidRPr="00B4461C">
        <w:rPr>
          <w:rFonts w:ascii="Times New Roman" w:hAnsi="Times New Roman" w:cs="Times New Roman"/>
          <w:sz w:val="24"/>
          <w:szCs w:val="24"/>
        </w:rPr>
        <w:t xml:space="preserve"> drug in dispersion media. </w:t>
      </w:r>
      <w:r w:rsidR="00F44784" w:rsidRPr="00B4461C">
        <w:rPr>
          <w:rFonts w:ascii="Times New Roman" w:hAnsi="Times New Roman" w:cs="Times New Roman"/>
          <w:sz w:val="24"/>
          <w:szCs w:val="24"/>
        </w:rPr>
        <w:t xml:space="preserve">As mentioned in </w:t>
      </w:r>
      <w:r w:rsidR="00F44784" w:rsidRPr="00B4461C">
        <w:rPr>
          <w:rFonts w:ascii="Times New Roman" w:hAnsi="Times New Roman" w:cs="Times New Roman"/>
          <w:b/>
          <w:sz w:val="24"/>
          <w:szCs w:val="24"/>
        </w:rPr>
        <w:t>Methods</w:t>
      </w:r>
      <w:r w:rsidR="00F44784" w:rsidRPr="00B4461C">
        <w:rPr>
          <w:rFonts w:ascii="Times New Roman" w:hAnsi="Times New Roman" w:cs="Times New Roman"/>
          <w:sz w:val="24"/>
          <w:szCs w:val="24"/>
        </w:rPr>
        <w:t xml:space="preserve">, </w:t>
      </w:r>
      <w:r w:rsidR="00DD36E3" w:rsidRPr="00B4461C">
        <w:rPr>
          <w:rFonts w:ascii="Times New Roman" w:hAnsi="Times New Roman" w:cs="Times New Roman"/>
          <w:sz w:val="24"/>
          <w:szCs w:val="24"/>
        </w:rPr>
        <w:t xml:space="preserve">the probucol concentration at only 80% of the saturation solubility in the lipid content of the formulation was used. It was, therefore, expected that the drug would remain dissolved in the lipid phase, </w:t>
      </w:r>
      <w:r w:rsidR="00376070" w:rsidRPr="00B4461C">
        <w:rPr>
          <w:rFonts w:ascii="Times New Roman" w:hAnsi="Times New Roman" w:cs="Times New Roman"/>
          <w:sz w:val="24"/>
          <w:szCs w:val="24"/>
        </w:rPr>
        <w:t>i.e.</w:t>
      </w:r>
      <w:r w:rsidR="00DD36E3" w:rsidRPr="00B4461C">
        <w:rPr>
          <w:rFonts w:ascii="Times New Roman" w:hAnsi="Times New Roman" w:cs="Times New Roman"/>
          <w:sz w:val="24"/>
          <w:szCs w:val="24"/>
        </w:rPr>
        <w:t>, emulsion globules of the dispersions after mixing with water. Nonetheless, t</w:t>
      </w:r>
      <w:r w:rsidR="00483384" w:rsidRPr="00B4461C">
        <w:rPr>
          <w:rFonts w:ascii="Times New Roman" w:hAnsi="Times New Roman" w:cs="Times New Roman"/>
          <w:sz w:val="24"/>
          <w:szCs w:val="24"/>
        </w:rPr>
        <w:t>o</w:t>
      </w:r>
      <w:r w:rsidR="00DD36E3" w:rsidRPr="00B4461C">
        <w:rPr>
          <w:rFonts w:ascii="Times New Roman" w:hAnsi="Times New Roman" w:cs="Times New Roman"/>
          <w:sz w:val="24"/>
          <w:szCs w:val="24"/>
        </w:rPr>
        <w:t xml:space="preserve"> determine whether any precipitation did at all occur, aliquots </w:t>
      </w:r>
      <w:r w:rsidR="00483384" w:rsidRPr="00B4461C">
        <w:rPr>
          <w:rFonts w:ascii="Times New Roman" w:hAnsi="Times New Roman" w:cs="Times New Roman"/>
          <w:sz w:val="24"/>
          <w:szCs w:val="24"/>
        </w:rPr>
        <w:t xml:space="preserve">of the </w:t>
      </w:r>
      <w:r w:rsidR="00DD36E3" w:rsidRPr="00B4461C">
        <w:rPr>
          <w:rFonts w:ascii="Times New Roman" w:hAnsi="Times New Roman" w:cs="Times New Roman"/>
          <w:sz w:val="24"/>
          <w:szCs w:val="24"/>
        </w:rPr>
        <w:t xml:space="preserve">emulsions formed in dispersion media were </w:t>
      </w:r>
      <w:r w:rsidR="00483384" w:rsidRPr="00B4461C">
        <w:rPr>
          <w:rFonts w:ascii="Times New Roman" w:hAnsi="Times New Roman" w:cs="Times New Roman"/>
          <w:sz w:val="24"/>
          <w:szCs w:val="24"/>
        </w:rPr>
        <w:t xml:space="preserve">periodically </w:t>
      </w:r>
      <w:r w:rsidR="00DD36E3" w:rsidRPr="00B4461C">
        <w:rPr>
          <w:rFonts w:ascii="Times New Roman" w:hAnsi="Times New Roman" w:cs="Times New Roman"/>
          <w:sz w:val="24"/>
          <w:szCs w:val="24"/>
        </w:rPr>
        <w:t xml:space="preserve">centrifuged (8000 RPM), and no separate solid precipitate was observed. There was </w:t>
      </w:r>
      <w:r w:rsidR="00483384" w:rsidRPr="00B4461C">
        <w:rPr>
          <w:rFonts w:ascii="Times New Roman" w:hAnsi="Times New Roman" w:cs="Times New Roman"/>
          <w:sz w:val="24"/>
          <w:szCs w:val="24"/>
        </w:rPr>
        <w:t xml:space="preserve">also </w:t>
      </w:r>
      <w:r w:rsidR="00DD36E3" w:rsidRPr="00B4461C">
        <w:rPr>
          <w:rFonts w:ascii="Times New Roman" w:hAnsi="Times New Roman" w:cs="Times New Roman"/>
          <w:sz w:val="24"/>
          <w:szCs w:val="24"/>
        </w:rPr>
        <w:t>no change in particle size with time (Figs. 5 and 6)</w:t>
      </w:r>
      <w:r w:rsidR="00483384" w:rsidRPr="00B4461C">
        <w:rPr>
          <w:rFonts w:ascii="Times New Roman" w:hAnsi="Times New Roman" w:cs="Times New Roman"/>
          <w:sz w:val="24"/>
          <w:szCs w:val="24"/>
        </w:rPr>
        <w:t>,</w:t>
      </w:r>
      <w:r w:rsidR="00DD36E3" w:rsidRPr="00B4461C">
        <w:rPr>
          <w:rFonts w:ascii="Times New Roman" w:hAnsi="Times New Roman" w:cs="Times New Roman"/>
          <w:sz w:val="24"/>
          <w:szCs w:val="24"/>
        </w:rPr>
        <w:t xml:space="preserve"> indicat</w:t>
      </w:r>
      <w:r w:rsidR="00483384" w:rsidRPr="00B4461C">
        <w:rPr>
          <w:rFonts w:ascii="Times New Roman" w:hAnsi="Times New Roman" w:cs="Times New Roman"/>
          <w:sz w:val="24"/>
          <w:szCs w:val="24"/>
        </w:rPr>
        <w:t>ing</w:t>
      </w:r>
      <w:r w:rsidR="00DD36E3" w:rsidRPr="00B4461C">
        <w:rPr>
          <w:rFonts w:ascii="Times New Roman" w:hAnsi="Times New Roman" w:cs="Times New Roman"/>
          <w:sz w:val="24"/>
          <w:szCs w:val="24"/>
        </w:rPr>
        <w:t xml:space="preserve"> the </w:t>
      </w:r>
      <w:r w:rsidR="00483384" w:rsidRPr="00B4461C">
        <w:rPr>
          <w:rFonts w:ascii="Times New Roman" w:hAnsi="Times New Roman" w:cs="Times New Roman"/>
          <w:sz w:val="24"/>
          <w:szCs w:val="24"/>
        </w:rPr>
        <w:t>absence</w:t>
      </w:r>
      <w:r w:rsidR="00DD36E3" w:rsidRPr="00B4461C">
        <w:rPr>
          <w:rFonts w:ascii="Times New Roman" w:hAnsi="Times New Roman" w:cs="Times New Roman"/>
          <w:sz w:val="24"/>
          <w:szCs w:val="24"/>
        </w:rPr>
        <w:t xml:space="preserve"> of any crystallization and particle size growth with time. Thus, the lack of </w:t>
      </w:r>
      <w:r w:rsidR="00E61F41" w:rsidRPr="00B4461C">
        <w:rPr>
          <w:rFonts w:ascii="Times New Roman" w:hAnsi="Times New Roman" w:cs="Times New Roman"/>
          <w:sz w:val="24"/>
          <w:szCs w:val="24"/>
        </w:rPr>
        <w:t>crystallization of drug indicated that the drug remained dissolved in the fine lipid globules of the dispersed phase.</w:t>
      </w:r>
      <w:r w:rsidR="00E61F41" w:rsidRPr="00B13F50">
        <w:rPr>
          <w:rFonts w:ascii="Times New Roman" w:hAnsi="Times New Roman" w:cs="Times New Roman"/>
          <w:sz w:val="24"/>
          <w:szCs w:val="24"/>
        </w:rPr>
        <w:t xml:space="preserve"> </w:t>
      </w:r>
    </w:p>
    <w:p w:rsidR="00A93DF4" w:rsidRDefault="00A93DF4" w:rsidP="00E61F41">
      <w:pPr>
        <w:spacing w:line="480" w:lineRule="auto"/>
        <w:jc w:val="both"/>
        <w:rPr>
          <w:rFonts w:ascii="Times New Roman" w:hAnsi="Times New Roman" w:cs="Times New Roman"/>
          <w:b/>
          <w:sz w:val="24"/>
          <w:szCs w:val="24"/>
        </w:rPr>
      </w:pPr>
    </w:p>
    <w:p w:rsidR="00E61F41" w:rsidRPr="00B13F50" w:rsidRDefault="00FB28AF" w:rsidP="00E61F41">
      <w:pPr>
        <w:spacing w:line="480" w:lineRule="auto"/>
        <w:jc w:val="both"/>
        <w:rPr>
          <w:rFonts w:ascii="Times New Roman" w:hAnsi="Times New Roman" w:cs="Times New Roman"/>
          <w:b/>
          <w:sz w:val="24"/>
          <w:szCs w:val="24"/>
        </w:rPr>
      </w:pPr>
      <w:r w:rsidRPr="00B13F50">
        <w:rPr>
          <w:rFonts w:ascii="Times New Roman" w:hAnsi="Times New Roman" w:cs="Times New Roman"/>
          <w:b/>
          <w:sz w:val="24"/>
          <w:szCs w:val="24"/>
        </w:rPr>
        <w:t>CONCLUSION</w:t>
      </w:r>
      <w:r w:rsidR="00A93DF4">
        <w:rPr>
          <w:rFonts w:ascii="Times New Roman" w:hAnsi="Times New Roman" w:cs="Times New Roman"/>
          <w:b/>
          <w:sz w:val="24"/>
          <w:szCs w:val="24"/>
        </w:rPr>
        <w:t>S</w:t>
      </w:r>
    </w:p>
    <w:p w:rsidR="00FB28AF" w:rsidRDefault="00376070"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sz w:val="24"/>
          <w:szCs w:val="24"/>
        </w:rPr>
        <w:t>This study presents a novel approach in developing solid self-emulsifying lipid-based drug delivery systems where a liquid medium-chain triglyceride may be incorporated in the solid microstructure of stearoyl polyoxyl</w:t>
      </w:r>
      <w:r>
        <w:rPr>
          <w:rFonts w:ascii="Times New Roman" w:hAnsi="Times New Roman" w:cs="Times New Roman"/>
          <w:sz w:val="24"/>
          <w:szCs w:val="24"/>
        </w:rPr>
        <w:t xml:space="preserve"> </w:t>
      </w:r>
      <w:r w:rsidRPr="00B13F50">
        <w:rPr>
          <w:rFonts w:ascii="Times New Roman" w:hAnsi="Times New Roman" w:cs="Times New Roman"/>
          <w:sz w:val="24"/>
          <w:szCs w:val="24"/>
        </w:rPr>
        <w:t>glyceride</w:t>
      </w:r>
      <w:r>
        <w:rPr>
          <w:rFonts w:ascii="Times New Roman" w:hAnsi="Times New Roman" w:cs="Times New Roman"/>
          <w:sz w:val="24"/>
          <w:szCs w:val="24"/>
        </w:rPr>
        <w:t>s</w:t>
      </w:r>
      <w:r w:rsidRPr="00B13F50">
        <w:rPr>
          <w:rFonts w:ascii="Times New Roman" w:hAnsi="Times New Roman" w:cs="Times New Roman"/>
          <w:sz w:val="24"/>
          <w:szCs w:val="24"/>
        </w:rPr>
        <w:t xml:space="preserve"> (Acconon C-50 and Gelucire 50/13). </w:t>
      </w:r>
      <w:r w:rsidR="00E61F41" w:rsidRPr="00B13F50">
        <w:rPr>
          <w:rFonts w:ascii="Times New Roman" w:hAnsi="Times New Roman" w:cs="Times New Roman"/>
          <w:sz w:val="24"/>
          <w:szCs w:val="24"/>
        </w:rPr>
        <w:t>Acconon C-50 and Gelucire 50/13 not only served a</w:t>
      </w:r>
      <w:r w:rsidR="00E61F41">
        <w:rPr>
          <w:rFonts w:ascii="Times New Roman" w:hAnsi="Times New Roman" w:cs="Times New Roman"/>
          <w:sz w:val="24"/>
          <w:szCs w:val="24"/>
        </w:rPr>
        <w:t xml:space="preserve">s solidifying agents, there was </w:t>
      </w:r>
      <w:r w:rsidR="00483384">
        <w:rPr>
          <w:rFonts w:ascii="Times New Roman" w:hAnsi="Times New Roman" w:cs="Times New Roman"/>
          <w:sz w:val="24"/>
          <w:szCs w:val="24"/>
        </w:rPr>
        <w:t xml:space="preserve">also </w:t>
      </w:r>
      <w:r w:rsidR="00E61F41" w:rsidRPr="00B13F50">
        <w:rPr>
          <w:rFonts w:ascii="Times New Roman" w:hAnsi="Times New Roman" w:cs="Times New Roman"/>
          <w:sz w:val="24"/>
          <w:szCs w:val="24"/>
        </w:rPr>
        <w:t xml:space="preserve">no need for a liquid co-surfactant when the lipid </w:t>
      </w:r>
      <w:r w:rsidR="00E61F41">
        <w:rPr>
          <w:rFonts w:ascii="Times New Roman" w:hAnsi="Times New Roman" w:cs="Times New Roman"/>
          <w:sz w:val="24"/>
          <w:szCs w:val="24"/>
        </w:rPr>
        <w:t>content was used up to 60% w/w</w:t>
      </w:r>
      <w:r w:rsidR="00E61F41" w:rsidRPr="00B13F50">
        <w:rPr>
          <w:rFonts w:ascii="Times New Roman" w:hAnsi="Times New Roman" w:cs="Times New Roman"/>
          <w:sz w:val="24"/>
          <w:szCs w:val="24"/>
        </w:rPr>
        <w:t xml:space="preserve">. The potential for any physical instability of formulations due to crystallization of drug from solid systems was minimized as the drug remained dissolved in the lipid. The formulations may be filled in hard gelatin capsules in </w:t>
      </w:r>
      <w:r w:rsidR="00E61F41" w:rsidRPr="00B13F50">
        <w:rPr>
          <w:rFonts w:ascii="Times New Roman" w:hAnsi="Times New Roman" w:cs="Times New Roman"/>
          <w:sz w:val="24"/>
          <w:szCs w:val="24"/>
        </w:rPr>
        <w:lastRenderedPageBreak/>
        <w:t xml:space="preserve">their molten state, and they solidified as hard masses inside capsules. The solid formulations formed very fine emulsions upon dispersion in aqueous media. </w:t>
      </w:r>
    </w:p>
    <w:p w:rsidR="001472D6" w:rsidRDefault="001472D6" w:rsidP="00E61F41">
      <w:pPr>
        <w:autoSpaceDE w:val="0"/>
        <w:autoSpaceDN w:val="0"/>
        <w:adjustRightInd w:val="0"/>
        <w:spacing w:after="0" w:line="480" w:lineRule="auto"/>
        <w:jc w:val="both"/>
        <w:rPr>
          <w:rFonts w:ascii="Times New Roman" w:hAnsi="Times New Roman" w:cs="Times New Roman"/>
          <w:sz w:val="24"/>
          <w:szCs w:val="24"/>
        </w:rPr>
      </w:pPr>
    </w:p>
    <w:p w:rsidR="001472D6" w:rsidRPr="002C5D5A" w:rsidRDefault="001472D6" w:rsidP="001472D6">
      <w:pPr>
        <w:pStyle w:val="ListParagraph"/>
        <w:spacing w:line="480" w:lineRule="auto"/>
        <w:ind w:left="0"/>
        <w:outlineLvl w:val="0"/>
        <w:rPr>
          <w:rFonts w:ascii="Times New Roman" w:hAnsi="Times New Roman"/>
          <w:b/>
          <w:sz w:val="24"/>
          <w:szCs w:val="24"/>
        </w:rPr>
      </w:pPr>
      <w:r w:rsidRPr="002C5D5A">
        <w:rPr>
          <w:rFonts w:ascii="Times New Roman" w:hAnsi="Times New Roman"/>
          <w:b/>
          <w:sz w:val="24"/>
          <w:szCs w:val="24"/>
        </w:rPr>
        <w:t>ACKNOWLEDGEMENTS AND DISCLOSURE</w:t>
      </w:r>
    </w:p>
    <w:p w:rsidR="00A93DF4" w:rsidRPr="002C5D5A" w:rsidRDefault="00A93DF4" w:rsidP="001472D6">
      <w:pPr>
        <w:spacing w:line="480" w:lineRule="auto"/>
        <w:rPr>
          <w:rFonts w:ascii="Times New Roman" w:hAnsi="Times New Roman"/>
          <w:sz w:val="24"/>
          <w:szCs w:val="24"/>
        </w:rPr>
      </w:pPr>
    </w:p>
    <w:p w:rsidR="00FB28AF" w:rsidRPr="001472D6" w:rsidRDefault="001472D6" w:rsidP="001472D6">
      <w:pPr>
        <w:spacing w:line="480" w:lineRule="auto"/>
        <w:rPr>
          <w:rFonts w:ascii="Times New Roman" w:hAnsi="Times New Roman"/>
          <w:sz w:val="24"/>
          <w:szCs w:val="24"/>
        </w:rPr>
      </w:pPr>
      <w:r w:rsidRPr="002C5D5A">
        <w:rPr>
          <w:rFonts w:ascii="Times New Roman" w:hAnsi="Times New Roman"/>
          <w:sz w:val="24"/>
          <w:szCs w:val="24"/>
        </w:rPr>
        <w:t>This study was supported, in part, with a generous research grant from ABITEC Corporation, 501 W 1</w:t>
      </w:r>
      <w:r w:rsidRPr="002C5D5A">
        <w:rPr>
          <w:rFonts w:ascii="Times New Roman" w:hAnsi="Times New Roman"/>
          <w:sz w:val="24"/>
          <w:szCs w:val="24"/>
          <w:vertAlign w:val="superscript"/>
        </w:rPr>
        <w:t>st</w:t>
      </w:r>
      <w:r w:rsidRPr="002C5D5A">
        <w:rPr>
          <w:rFonts w:ascii="Times New Roman" w:hAnsi="Times New Roman"/>
          <w:sz w:val="24"/>
          <w:szCs w:val="24"/>
        </w:rPr>
        <w:t xml:space="preserve"> Avenue, Columbus, OH 43215 to St. John’s University.  The authors thank Gattefosse Corp., Paramus, New Jersey, USA, for the donation of Gelucire</w:t>
      </w:r>
      <w:r w:rsidRPr="002C5D5A">
        <w:rPr>
          <w:rFonts w:ascii="Times New Roman" w:hAnsi="Times New Roman"/>
          <w:sz w:val="24"/>
          <w:szCs w:val="24"/>
          <w:vertAlign w:val="superscript"/>
        </w:rPr>
        <w:t>®</w:t>
      </w:r>
      <w:r w:rsidRPr="002C5D5A">
        <w:rPr>
          <w:rFonts w:ascii="Times New Roman" w:hAnsi="Times New Roman"/>
          <w:sz w:val="24"/>
          <w:szCs w:val="24"/>
        </w:rPr>
        <w:t xml:space="preserve"> 50/13. They also thank Mr. Louis E. Bryan of the Department of Biological Sciences, St. John’s University for his assistance in the confocal fluorescence microscopic analysis of samples.</w:t>
      </w:r>
    </w:p>
    <w:p w:rsidR="00CF7A63" w:rsidRDefault="00CF7A63" w:rsidP="00E61F41">
      <w:pPr>
        <w:autoSpaceDE w:val="0"/>
        <w:autoSpaceDN w:val="0"/>
        <w:adjustRightInd w:val="0"/>
        <w:spacing w:after="0" w:line="480" w:lineRule="auto"/>
        <w:jc w:val="both"/>
        <w:rPr>
          <w:rFonts w:ascii="Times New Roman" w:hAnsi="Times New Roman" w:cs="Times New Roman"/>
          <w:b/>
          <w:sz w:val="24"/>
          <w:szCs w:val="24"/>
        </w:rPr>
      </w:pPr>
    </w:p>
    <w:p w:rsidR="00FB28AF" w:rsidRDefault="00FB28AF" w:rsidP="00E61F41">
      <w:pPr>
        <w:autoSpaceDE w:val="0"/>
        <w:autoSpaceDN w:val="0"/>
        <w:adjustRightInd w:val="0"/>
        <w:spacing w:after="0" w:line="480" w:lineRule="auto"/>
        <w:jc w:val="both"/>
        <w:rPr>
          <w:rFonts w:ascii="Times New Roman" w:hAnsi="Times New Roman" w:cs="Times New Roman"/>
          <w:b/>
          <w:sz w:val="24"/>
          <w:szCs w:val="24"/>
        </w:rPr>
      </w:pPr>
      <w:r w:rsidRPr="00FB28AF">
        <w:rPr>
          <w:rFonts w:ascii="Times New Roman" w:hAnsi="Times New Roman" w:cs="Times New Roman"/>
          <w:b/>
          <w:sz w:val="24"/>
          <w:szCs w:val="24"/>
        </w:rPr>
        <w:t>REFERENCES</w:t>
      </w:r>
    </w:p>
    <w:p w:rsidR="00B05190" w:rsidRPr="005D52CD" w:rsidRDefault="00FB28AF" w:rsidP="00B05190">
      <w:pPr>
        <w:pStyle w:val="NormalWeb"/>
        <w:spacing w:line="480" w:lineRule="auto"/>
      </w:pPr>
      <w:r w:rsidRPr="00FB28AF">
        <w:t xml:space="preserve">1. </w:t>
      </w:r>
      <w:r w:rsidR="00B05190" w:rsidRPr="005D52CD">
        <w:t>Charman S</w:t>
      </w:r>
      <w:r w:rsidR="00B05190">
        <w:t>.</w:t>
      </w:r>
      <w:r w:rsidR="00B05190" w:rsidRPr="005D52CD">
        <w:t>A</w:t>
      </w:r>
      <w:r w:rsidR="00B05190">
        <w:t>.</w:t>
      </w:r>
      <w:r w:rsidR="00B05190" w:rsidRPr="005D52CD">
        <w:t>, Charman W</w:t>
      </w:r>
      <w:r w:rsidR="00B05190">
        <w:t>.</w:t>
      </w:r>
      <w:r w:rsidR="00B05190" w:rsidRPr="005D52CD">
        <w:t>N</w:t>
      </w:r>
      <w:r w:rsidR="00B05190">
        <w:t>.</w:t>
      </w:r>
      <w:r w:rsidR="00B05190" w:rsidRPr="005D52CD">
        <w:t>, Rogge M</w:t>
      </w:r>
      <w:r w:rsidR="00B05190">
        <w:t>.</w:t>
      </w:r>
      <w:r w:rsidR="00B05190" w:rsidRPr="005D52CD">
        <w:t>C</w:t>
      </w:r>
      <w:r w:rsidR="00B05190">
        <w:t>.</w:t>
      </w:r>
      <w:r w:rsidR="00B05190" w:rsidRPr="005D52CD">
        <w:t>, Wilson T</w:t>
      </w:r>
      <w:r w:rsidR="00B05190">
        <w:t>.</w:t>
      </w:r>
      <w:r w:rsidR="00B05190" w:rsidRPr="005D52CD">
        <w:t>D</w:t>
      </w:r>
      <w:r w:rsidR="00B05190">
        <w:t>.</w:t>
      </w:r>
      <w:r w:rsidR="00B05190" w:rsidRPr="005D52CD">
        <w:t>, Dutko F</w:t>
      </w:r>
      <w:r w:rsidR="00B05190">
        <w:t>.</w:t>
      </w:r>
      <w:r w:rsidR="00B05190" w:rsidRPr="005D52CD">
        <w:t>J</w:t>
      </w:r>
      <w:r w:rsidR="00B05190">
        <w:t>.</w:t>
      </w:r>
      <w:r w:rsidR="00B05190" w:rsidRPr="005D52CD">
        <w:t>, Pouton C</w:t>
      </w:r>
      <w:r w:rsidR="00B05190">
        <w:t>.</w:t>
      </w:r>
      <w:r w:rsidR="00B05190" w:rsidRPr="005D52CD">
        <w:t>W</w:t>
      </w:r>
      <w:r w:rsidR="00B05190">
        <w:t xml:space="preserve">., </w:t>
      </w:r>
      <w:r w:rsidR="00B05190" w:rsidRPr="005D52CD">
        <w:t>Self-emulsifying drug delivery systems: formulation and biopharmaceutic evaluation of an inves</w:t>
      </w:r>
      <w:r w:rsidR="00B05190">
        <w:t xml:space="preserve">tigational lipophilic compound, </w:t>
      </w:r>
      <w:r w:rsidR="00B05190" w:rsidRPr="005D52CD">
        <w:t>Pharm</w:t>
      </w:r>
      <w:r w:rsidR="00B05190">
        <w:t>.</w:t>
      </w:r>
      <w:r w:rsidR="00B05190" w:rsidRPr="005D52CD">
        <w:t xml:space="preserve"> Res</w:t>
      </w:r>
      <w:r w:rsidR="00B05190">
        <w:t xml:space="preserve">., </w:t>
      </w:r>
      <w:r w:rsidR="00B05190" w:rsidRPr="005D52CD">
        <w:t>9:87-93</w:t>
      </w:r>
      <w:r w:rsidR="00B05190">
        <w:t>, 1992</w:t>
      </w:r>
      <w:r w:rsidR="00B05190" w:rsidRPr="005D52CD">
        <w:t xml:space="preserve"> </w:t>
      </w:r>
    </w:p>
    <w:p w:rsidR="00B05190" w:rsidRPr="005D52CD" w:rsidRDefault="00FB28AF" w:rsidP="00B05190">
      <w:pPr>
        <w:pStyle w:val="NormalWeb"/>
        <w:spacing w:line="480" w:lineRule="auto"/>
      </w:pPr>
      <w:r w:rsidRPr="00FB28AF">
        <w:t xml:space="preserve">2. </w:t>
      </w:r>
      <w:r w:rsidR="00B05190" w:rsidRPr="005D52CD">
        <w:t>Shah N</w:t>
      </w:r>
      <w:r w:rsidR="00B05190">
        <w:t>.H.</w:t>
      </w:r>
      <w:r w:rsidR="00B05190" w:rsidRPr="005D52CD">
        <w:t>, Carvajal M</w:t>
      </w:r>
      <w:r w:rsidR="00B05190">
        <w:t>.T.</w:t>
      </w:r>
      <w:r w:rsidR="00B05190" w:rsidRPr="005D52CD">
        <w:t>, Patel C</w:t>
      </w:r>
      <w:r w:rsidR="00B05190">
        <w:t>.I.</w:t>
      </w:r>
      <w:r w:rsidR="00B05190" w:rsidRPr="005D52CD">
        <w:t>, Infeld M</w:t>
      </w:r>
      <w:r w:rsidR="00B05190">
        <w:t>.H.</w:t>
      </w:r>
      <w:r w:rsidR="00B05190" w:rsidRPr="005D52CD">
        <w:t>, Malick A</w:t>
      </w:r>
      <w:r w:rsidR="00B05190">
        <w:t xml:space="preserve">.W., </w:t>
      </w:r>
      <w:r w:rsidR="00B05190" w:rsidRPr="005D52CD">
        <w:t>Self-emulsifying drug delivery systems (SEDDS) with polyglycolyzed glycerides for improving in vitro dissolution and oral absorption of lipophilic drugs</w:t>
      </w:r>
      <w:r w:rsidR="00B05190">
        <w:t xml:space="preserve">, </w:t>
      </w:r>
      <w:r w:rsidR="00B05190" w:rsidRPr="005D52CD">
        <w:t>Int</w:t>
      </w:r>
      <w:r w:rsidR="00B05190">
        <w:t>.</w:t>
      </w:r>
      <w:r w:rsidR="00B05190" w:rsidRPr="005D52CD">
        <w:t xml:space="preserve"> J</w:t>
      </w:r>
      <w:r w:rsidR="00B05190">
        <w:t>.</w:t>
      </w:r>
      <w:r w:rsidR="00B05190" w:rsidRPr="005D52CD">
        <w:t xml:space="preserve"> Pharm</w:t>
      </w:r>
      <w:r w:rsidR="00B05190">
        <w:t>.,</w:t>
      </w:r>
      <w:r w:rsidR="00B05190" w:rsidRPr="005D52CD">
        <w:t xml:space="preserve"> 106:15-23</w:t>
      </w:r>
      <w:r w:rsidR="00B05190">
        <w:t>, 1994</w:t>
      </w:r>
      <w:r w:rsidR="00B05190" w:rsidRPr="005D52CD">
        <w:t xml:space="preserve"> </w:t>
      </w:r>
    </w:p>
    <w:p w:rsidR="00B05190" w:rsidRPr="005D52CD" w:rsidRDefault="00FB28AF" w:rsidP="00B05190">
      <w:pPr>
        <w:pStyle w:val="NormalWeb"/>
        <w:spacing w:line="480" w:lineRule="auto"/>
      </w:pPr>
      <w:r w:rsidRPr="00FB28AF">
        <w:t xml:space="preserve">3. </w:t>
      </w:r>
      <w:r w:rsidR="00B05190" w:rsidRPr="005D52CD">
        <w:t>Porter C</w:t>
      </w:r>
      <w:r w:rsidR="00B05190">
        <w:t>.J.H.</w:t>
      </w:r>
      <w:r w:rsidR="00B05190" w:rsidRPr="005D52CD">
        <w:t>, Trevaskis N</w:t>
      </w:r>
      <w:r w:rsidR="00B05190">
        <w:t>.</w:t>
      </w:r>
      <w:r w:rsidR="00B05190" w:rsidRPr="005D52CD">
        <w:t>L</w:t>
      </w:r>
      <w:r w:rsidR="00B05190">
        <w:t>.</w:t>
      </w:r>
      <w:r w:rsidR="00B05190" w:rsidRPr="005D52CD">
        <w:t>, Charman W</w:t>
      </w:r>
      <w:r w:rsidR="00B05190">
        <w:t>.</w:t>
      </w:r>
      <w:r w:rsidR="00B05190" w:rsidRPr="005D52CD">
        <w:t>N</w:t>
      </w:r>
      <w:r w:rsidR="00B05190">
        <w:t xml:space="preserve">., </w:t>
      </w:r>
      <w:r w:rsidR="00B05190" w:rsidRPr="005D52CD">
        <w:t>Lipids</w:t>
      </w:r>
      <w:r w:rsidR="00483384">
        <w:t xml:space="preserve"> and lipid-based formulations: O</w:t>
      </w:r>
      <w:r w:rsidR="00B05190" w:rsidRPr="005D52CD">
        <w:t>ptimizing the ora</w:t>
      </w:r>
      <w:r w:rsidR="00B05190">
        <w:t xml:space="preserve">l delivery of lipophilic drugs, </w:t>
      </w:r>
      <w:r w:rsidR="00B05190" w:rsidRPr="005D52CD">
        <w:t xml:space="preserve">Nature </w:t>
      </w:r>
      <w:r w:rsidR="00B05190">
        <w:t>R</w:t>
      </w:r>
      <w:r w:rsidR="00B05190" w:rsidRPr="005D52CD">
        <w:t>ev</w:t>
      </w:r>
      <w:r w:rsidR="00B05190">
        <w:t xml:space="preserve">., </w:t>
      </w:r>
      <w:r w:rsidR="00B05190" w:rsidRPr="005D52CD">
        <w:t>6:231</w:t>
      </w:r>
      <w:r w:rsidR="00B05190">
        <w:t>-248, 2007</w:t>
      </w:r>
      <w:r w:rsidR="00B05190" w:rsidRPr="005D52CD">
        <w:t xml:space="preserve"> </w:t>
      </w:r>
    </w:p>
    <w:p w:rsidR="00B05190" w:rsidRPr="005D52CD" w:rsidRDefault="00FB28AF" w:rsidP="00B05190">
      <w:pPr>
        <w:pStyle w:val="NormalWeb"/>
        <w:spacing w:line="480" w:lineRule="auto"/>
      </w:pPr>
      <w:r w:rsidRPr="00FB28AF">
        <w:lastRenderedPageBreak/>
        <w:t>4</w:t>
      </w:r>
      <w:r w:rsidR="00B05190">
        <w:t>.</w:t>
      </w:r>
      <w:r w:rsidR="00B05190" w:rsidRPr="00B05190">
        <w:t xml:space="preserve"> </w:t>
      </w:r>
      <w:r w:rsidR="00B05190" w:rsidRPr="005D52CD">
        <w:t>O'Driscoll C</w:t>
      </w:r>
      <w:r w:rsidR="00B05190">
        <w:t>.M.</w:t>
      </w:r>
      <w:r w:rsidR="00B05190" w:rsidRPr="005D52CD">
        <w:t>, Griffin B</w:t>
      </w:r>
      <w:r w:rsidR="00B05190">
        <w:t>.T.,</w:t>
      </w:r>
      <w:r w:rsidR="00B05190" w:rsidRPr="005D52CD">
        <w:t xml:space="preserve"> Biopharmaceutical challenges associated with dr</w:t>
      </w:r>
      <w:r w:rsidR="00B05190">
        <w:t>ugs with low aqueous solubility - t</w:t>
      </w:r>
      <w:r w:rsidR="00B05190" w:rsidRPr="005D52CD">
        <w:t>he potential impact of lipid-based formulations</w:t>
      </w:r>
      <w:r w:rsidR="00B05190">
        <w:t>,</w:t>
      </w:r>
      <w:r w:rsidR="00B05190" w:rsidRPr="005D52CD">
        <w:t xml:space="preserve"> Adv</w:t>
      </w:r>
      <w:r w:rsidR="00B05190">
        <w:t>.</w:t>
      </w:r>
      <w:r w:rsidR="00B05190" w:rsidRPr="005D52CD">
        <w:t xml:space="preserve"> Drug Del</w:t>
      </w:r>
      <w:r w:rsidR="00B05190">
        <w:t>.</w:t>
      </w:r>
      <w:r w:rsidR="00B05190" w:rsidRPr="005D52CD">
        <w:t xml:space="preserve"> Rev</w:t>
      </w:r>
      <w:r w:rsidR="00B05190">
        <w:t>., 60:617-624, 2008</w:t>
      </w:r>
    </w:p>
    <w:p w:rsidR="00B05190" w:rsidRDefault="00FB28AF" w:rsidP="00FB28AF">
      <w:pPr>
        <w:pStyle w:val="NormalWeb"/>
        <w:spacing w:line="480" w:lineRule="auto"/>
      </w:pPr>
      <w:r w:rsidRPr="00FB28AF">
        <w:t xml:space="preserve">5. </w:t>
      </w:r>
      <w:r w:rsidR="00B05190" w:rsidRPr="005D52CD">
        <w:t>Serajuddin A</w:t>
      </w:r>
      <w:r w:rsidR="00B05190">
        <w:t>.T.M.</w:t>
      </w:r>
      <w:r w:rsidR="00B05190" w:rsidRPr="005D52CD">
        <w:t>, Li P</w:t>
      </w:r>
      <w:r w:rsidR="00B05190">
        <w:t>.</w:t>
      </w:r>
      <w:r w:rsidR="00B05190" w:rsidRPr="005D52CD">
        <w:t>, Haefele T</w:t>
      </w:r>
      <w:r w:rsidR="00B05190">
        <w:t>.F.,</w:t>
      </w:r>
      <w:r w:rsidR="00B05190" w:rsidRPr="005D52CD">
        <w:t xml:space="preserve"> Development of lipid-based drug delivery systems for poorly water-soluble dru</w:t>
      </w:r>
      <w:r w:rsidR="00B05190">
        <w:t xml:space="preserve">gs as viable oral dosage forms, American Pharmaceutical Review, </w:t>
      </w:r>
      <w:r w:rsidR="00B05190" w:rsidRPr="005D52CD">
        <w:t>11:34-42</w:t>
      </w:r>
      <w:r w:rsidR="00B05190">
        <w:t>, 2008</w:t>
      </w:r>
      <w:r w:rsidR="00B05190" w:rsidRPr="005D52CD">
        <w:t xml:space="preserve"> </w:t>
      </w:r>
    </w:p>
    <w:p w:rsidR="00B05190" w:rsidRPr="005D52CD" w:rsidRDefault="00FB28AF" w:rsidP="00B05190">
      <w:pPr>
        <w:pStyle w:val="NormalWeb"/>
        <w:spacing w:line="480" w:lineRule="auto"/>
      </w:pPr>
      <w:r w:rsidRPr="00FB28AF">
        <w:t xml:space="preserve">6. </w:t>
      </w:r>
      <w:r w:rsidR="00B05190" w:rsidRPr="005D52CD">
        <w:t>Prajapati H</w:t>
      </w:r>
      <w:r w:rsidR="00B05190">
        <w:t>.</w:t>
      </w:r>
      <w:r w:rsidR="00B05190" w:rsidRPr="005D52CD">
        <w:t>N</w:t>
      </w:r>
      <w:r w:rsidR="00B05190">
        <w:t>.</w:t>
      </w:r>
      <w:r w:rsidR="00B05190" w:rsidRPr="005D52CD">
        <w:t>, Dalrymple D</w:t>
      </w:r>
      <w:r w:rsidR="00B05190">
        <w:t>.</w:t>
      </w:r>
      <w:r w:rsidR="00B05190" w:rsidRPr="005D52CD">
        <w:t>M</w:t>
      </w:r>
      <w:r w:rsidR="00B05190">
        <w:t>.</w:t>
      </w:r>
      <w:r w:rsidR="00B05190" w:rsidRPr="005D52CD">
        <w:t>, Serajuddin A</w:t>
      </w:r>
      <w:r w:rsidR="00B05190">
        <w:t>.</w:t>
      </w:r>
      <w:r w:rsidR="00B05190" w:rsidRPr="005D52CD">
        <w:t>T</w:t>
      </w:r>
      <w:r w:rsidR="00B05190">
        <w:t>.</w:t>
      </w:r>
      <w:r w:rsidR="00B05190" w:rsidRPr="005D52CD">
        <w:t>M</w:t>
      </w:r>
      <w:r w:rsidR="00B05190">
        <w:t xml:space="preserve">., </w:t>
      </w:r>
      <w:r w:rsidR="00483384">
        <w:t>A comparative evaluation of mono-, di-and triglyceride of medium chain fatty acids by lipid/surfactant/water phase diagram, solubility determination and dispersion testing for application in p</w:t>
      </w:r>
      <w:r w:rsidR="00B05190" w:rsidRPr="005D52CD">
        <w:t>harmace</w:t>
      </w:r>
      <w:r w:rsidR="00483384">
        <w:t>utical dosage form d</w:t>
      </w:r>
      <w:r w:rsidR="00B05190">
        <w:t xml:space="preserve">evelopment, </w:t>
      </w:r>
      <w:r w:rsidR="00B05190" w:rsidRPr="005D52CD">
        <w:t>Pharm</w:t>
      </w:r>
      <w:r w:rsidR="00B05190">
        <w:t xml:space="preserve">. </w:t>
      </w:r>
      <w:r w:rsidR="00B05190" w:rsidRPr="005D52CD">
        <w:t xml:space="preserve"> Res</w:t>
      </w:r>
      <w:r w:rsidR="00B05190">
        <w:t>.,</w:t>
      </w:r>
      <w:r w:rsidR="00B05190" w:rsidRPr="00AF347E">
        <w:t xml:space="preserve"> 29:285–305</w:t>
      </w:r>
      <w:r w:rsidR="00B05190">
        <w:t>, 2012</w:t>
      </w:r>
      <w:r w:rsidR="00B05190" w:rsidRPr="005D52CD">
        <w:t xml:space="preserve"> </w:t>
      </w:r>
    </w:p>
    <w:p w:rsidR="00B05190" w:rsidRPr="005D52CD" w:rsidRDefault="00FB28AF" w:rsidP="00B05190">
      <w:pPr>
        <w:pStyle w:val="NormalWeb"/>
        <w:spacing w:line="480" w:lineRule="auto"/>
      </w:pPr>
      <w:r w:rsidRPr="00FB28AF">
        <w:t xml:space="preserve">7. </w:t>
      </w:r>
      <w:r w:rsidR="00B05190" w:rsidRPr="005D52CD">
        <w:t>Prajapati H</w:t>
      </w:r>
      <w:r w:rsidR="00B05190">
        <w:t>.</w:t>
      </w:r>
      <w:r w:rsidR="00B05190" w:rsidRPr="005D52CD">
        <w:t>N</w:t>
      </w:r>
      <w:r w:rsidR="00B05190">
        <w:t>.</w:t>
      </w:r>
      <w:r w:rsidR="00B05190" w:rsidRPr="005D52CD">
        <w:t>, Patel D</w:t>
      </w:r>
      <w:r w:rsidR="00B05190">
        <w:t>.</w:t>
      </w:r>
      <w:r w:rsidR="00B05190" w:rsidRPr="005D52CD">
        <w:t>P</w:t>
      </w:r>
      <w:r w:rsidR="00B05190">
        <w:t>.</w:t>
      </w:r>
      <w:r w:rsidR="00B05190" w:rsidRPr="005D52CD">
        <w:t>, Patel N</w:t>
      </w:r>
      <w:r w:rsidR="00B05190">
        <w:t>.</w:t>
      </w:r>
      <w:r w:rsidR="00B05190" w:rsidRPr="005D52CD">
        <w:t>G</w:t>
      </w:r>
      <w:r w:rsidR="00B05190">
        <w:t>.</w:t>
      </w:r>
      <w:r w:rsidR="00B05190" w:rsidRPr="005D52CD">
        <w:t>, Dalrymple D</w:t>
      </w:r>
      <w:r w:rsidR="00B05190">
        <w:t>.M.</w:t>
      </w:r>
      <w:r w:rsidR="00B05190" w:rsidRPr="005D52CD">
        <w:t>, Serajuddin A</w:t>
      </w:r>
      <w:r w:rsidR="00B05190">
        <w:t xml:space="preserve">.T.M., </w:t>
      </w:r>
      <w:r w:rsidR="00B05190" w:rsidRPr="005D52CD">
        <w:t xml:space="preserve">Effect of </w:t>
      </w:r>
      <w:r w:rsidR="00483384">
        <w:t>d</w:t>
      </w:r>
      <w:r w:rsidR="00B05190" w:rsidRPr="005D52CD">
        <w:t xml:space="preserve">ifference in </w:t>
      </w:r>
      <w:r w:rsidR="00483384">
        <w:t>f</w:t>
      </w:r>
      <w:r w:rsidR="00B05190" w:rsidRPr="005D52CD">
        <w:t xml:space="preserve">atty </w:t>
      </w:r>
      <w:r w:rsidR="00483384">
        <w:t>a</w:t>
      </w:r>
      <w:r w:rsidR="00B05190" w:rsidRPr="005D52CD">
        <w:t xml:space="preserve">cid </w:t>
      </w:r>
      <w:r w:rsidR="00483384">
        <w:t>c</w:t>
      </w:r>
      <w:r w:rsidR="00B05190" w:rsidRPr="005D52CD">
        <w:t xml:space="preserve">hain </w:t>
      </w:r>
      <w:r w:rsidR="00483384">
        <w:t>l</w:t>
      </w:r>
      <w:r w:rsidR="00B05190" w:rsidRPr="005D52CD">
        <w:t xml:space="preserve">engths of </w:t>
      </w:r>
      <w:r w:rsidR="00483384">
        <w:t>medium-chain lipids on lipid-surfactant-w</w:t>
      </w:r>
      <w:r w:rsidR="00BB6E2A">
        <w:t>ater phase diagrams and drug s</w:t>
      </w:r>
      <w:r w:rsidR="00B05190" w:rsidRPr="005D52CD">
        <w:t>olubility</w:t>
      </w:r>
      <w:r w:rsidR="00B05190">
        <w:t xml:space="preserve">, </w:t>
      </w:r>
      <w:r w:rsidR="00B05190" w:rsidRPr="005D52CD">
        <w:t>J</w:t>
      </w:r>
      <w:r w:rsidR="00B05190">
        <w:t>.</w:t>
      </w:r>
      <w:r w:rsidR="00BB6E2A">
        <w:t xml:space="preserve"> </w:t>
      </w:r>
      <w:r w:rsidR="00B05190" w:rsidRPr="005D52CD">
        <w:t>Excipients Food Chem</w:t>
      </w:r>
      <w:r w:rsidR="00B05190">
        <w:t xml:space="preserve">., </w:t>
      </w:r>
      <w:r w:rsidR="00B05190" w:rsidRPr="005D52CD">
        <w:t>2</w:t>
      </w:r>
      <w:r w:rsidR="00B05190">
        <w:t>(3):73-87, 2011</w:t>
      </w:r>
      <w:r w:rsidR="00B05190" w:rsidRPr="005D52CD">
        <w:t xml:space="preserve"> </w:t>
      </w:r>
    </w:p>
    <w:p w:rsidR="00FB28AF" w:rsidRPr="00FB28AF" w:rsidRDefault="00FB28AF" w:rsidP="00FB28AF">
      <w:pPr>
        <w:pStyle w:val="NormalWeb"/>
        <w:spacing w:line="480" w:lineRule="auto"/>
      </w:pPr>
      <w:r w:rsidRPr="00FB28AF">
        <w:t xml:space="preserve">8. </w:t>
      </w:r>
      <w:r w:rsidR="00B05190" w:rsidRPr="005D52CD">
        <w:t>Vasanthavada M</w:t>
      </w:r>
      <w:r w:rsidR="00B05190">
        <w:t>.</w:t>
      </w:r>
      <w:r w:rsidR="00B05190" w:rsidRPr="005D52CD">
        <w:t>, Serajuddin A</w:t>
      </w:r>
      <w:r w:rsidR="00B05190">
        <w:t xml:space="preserve">.T.M., </w:t>
      </w:r>
      <w:r w:rsidR="00B05190" w:rsidRPr="005D52CD">
        <w:t>Lipid-based self-emulsifying solid dispersions</w:t>
      </w:r>
      <w:r w:rsidR="00B05190">
        <w:t>,</w:t>
      </w:r>
      <w:r w:rsidR="00B05190" w:rsidRPr="005D52CD">
        <w:t xml:space="preserve"> </w:t>
      </w:r>
      <w:r w:rsidR="00B05190">
        <w:t>i</w:t>
      </w:r>
      <w:r w:rsidR="00B05190" w:rsidRPr="005D52CD">
        <w:t>n</w:t>
      </w:r>
      <w:r w:rsidR="00B05190">
        <w:t xml:space="preserve"> Hauss D (</w:t>
      </w:r>
      <w:r w:rsidR="00B05190" w:rsidRPr="005D52CD">
        <w:t>ed</w:t>
      </w:r>
      <w:r w:rsidR="00B05190">
        <w:t>.),</w:t>
      </w:r>
      <w:r w:rsidR="00B05190" w:rsidRPr="005D52CD">
        <w:t xml:space="preserve"> Lipid-based </w:t>
      </w:r>
      <w:r w:rsidR="00BB6E2A">
        <w:t>f</w:t>
      </w:r>
      <w:r w:rsidR="00B05190" w:rsidRPr="005D52CD">
        <w:t xml:space="preserve">ormulations for </w:t>
      </w:r>
      <w:r w:rsidR="00BB6E2A">
        <w:t>o</w:t>
      </w:r>
      <w:r w:rsidR="00B05190" w:rsidRPr="005D52CD">
        <w:t xml:space="preserve">ral </w:t>
      </w:r>
      <w:r w:rsidR="00BB6E2A">
        <w:t>d</w:t>
      </w:r>
      <w:r w:rsidR="00B05190" w:rsidRPr="005D52CD">
        <w:t xml:space="preserve">rug </w:t>
      </w:r>
      <w:r w:rsidR="00BB6E2A">
        <w:t>d</w:t>
      </w:r>
      <w:r w:rsidR="00B05190" w:rsidRPr="005D52CD">
        <w:t xml:space="preserve">elivery: Enhancing </w:t>
      </w:r>
      <w:r w:rsidR="00BB6E2A">
        <w:t>bioavailability of p</w:t>
      </w:r>
      <w:r w:rsidR="00B05190" w:rsidRPr="005D52CD">
        <w:t xml:space="preserve">oorly </w:t>
      </w:r>
      <w:r w:rsidR="00BB6E2A">
        <w:t>water-s</w:t>
      </w:r>
      <w:r w:rsidR="00B05190" w:rsidRPr="005D52CD">
        <w:t xml:space="preserve">oluble </w:t>
      </w:r>
      <w:r w:rsidR="00BB6E2A">
        <w:t>d</w:t>
      </w:r>
      <w:r w:rsidR="00B05190" w:rsidRPr="005D52CD">
        <w:t>rug</w:t>
      </w:r>
      <w:r w:rsidR="00B05190">
        <w:t xml:space="preserve">; </w:t>
      </w:r>
      <w:r w:rsidR="00B05190" w:rsidRPr="005D52CD">
        <w:t>Informa Healthcare</w:t>
      </w:r>
      <w:r w:rsidR="00B05190">
        <w:t xml:space="preserve">, New York, NY, </w:t>
      </w:r>
      <w:r w:rsidR="00B05190" w:rsidRPr="005D52CD">
        <w:t>149-184</w:t>
      </w:r>
      <w:r w:rsidR="00B05190">
        <w:t>, 2007</w:t>
      </w:r>
      <w:r w:rsidR="00B05190" w:rsidRPr="005D52CD">
        <w:t xml:space="preserve"> </w:t>
      </w:r>
    </w:p>
    <w:p w:rsidR="00B05190" w:rsidRPr="005D52CD" w:rsidRDefault="00FB28AF" w:rsidP="00B05190">
      <w:pPr>
        <w:pStyle w:val="NormalWeb"/>
        <w:spacing w:line="480" w:lineRule="auto"/>
      </w:pPr>
      <w:r w:rsidRPr="00FB28AF">
        <w:t xml:space="preserve">9. </w:t>
      </w:r>
      <w:r w:rsidR="00B05190" w:rsidRPr="005D52CD">
        <w:t>Jannin V</w:t>
      </w:r>
      <w:r w:rsidR="00B05190">
        <w:t>.</w:t>
      </w:r>
      <w:r w:rsidR="00B05190" w:rsidRPr="005D52CD">
        <w:t>, Musakhanian J</w:t>
      </w:r>
      <w:r w:rsidR="00B05190">
        <w:t>.</w:t>
      </w:r>
      <w:r w:rsidR="00B05190" w:rsidRPr="005D52CD">
        <w:t>, Marchaud D</w:t>
      </w:r>
      <w:r w:rsidR="00B05190">
        <w:t xml:space="preserve">., </w:t>
      </w:r>
      <w:r w:rsidR="00B05190" w:rsidRPr="005D52CD">
        <w:t>Approaches for the development of solid and semi-solid lipid-based formulations</w:t>
      </w:r>
      <w:r w:rsidR="00B05190">
        <w:t>, Adv. Drug. Del. Rev., 60:734-746, 2008</w:t>
      </w:r>
    </w:p>
    <w:p w:rsidR="00B05190" w:rsidRPr="005D52CD" w:rsidRDefault="00FB28AF" w:rsidP="00B05190">
      <w:pPr>
        <w:pStyle w:val="NormalWeb"/>
        <w:spacing w:line="480" w:lineRule="auto"/>
      </w:pPr>
      <w:r w:rsidRPr="00FB28AF">
        <w:t>10</w:t>
      </w:r>
      <w:r w:rsidR="00B05190" w:rsidRPr="00B05190">
        <w:t xml:space="preserve"> </w:t>
      </w:r>
      <w:r w:rsidR="00B05190" w:rsidRPr="005D52CD">
        <w:t>Li P</w:t>
      </w:r>
      <w:r w:rsidR="00B05190">
        <w:t>.</w:t>
      </w:r>
      <w:r w:rsidR="00B05190" w:rsidRPr="005D52CD">
        <w:t>, Hynes S</w:t>
      </w:r>
      <w:r w:rsidR="00B05190">
        <w:t>.</w:t>
      </w:r>
      <w:r w:rsidR="00B05190" w:rsidRPr="005D52CD">
        <w:t>R</w:t>
      </w:r>
      <w:r w:rsidR="00B05190">
        <w:t>.</w:t>
      </w:r>
      <w:r w:rsidR="00B05190" w:rsidRPr="005D52CD">
        <w:t>, Haefele T</w:t>
      </w:r>
      <w:r w:rsidR="00B05190">
        <w:t>.</w:t>
      </w:r>
      <w:r w:rsidR="00B05190" w:rsidRPr="005D52CD">
        <w:t>F</w:t>
      </w:r>
      <w:r w:rsidR="00B05190">
        <w:t>.</w:t>
      </w:r>
      <w:r w:rsidR="00B05190" w:rsidRPr="005D52CD">
        <w:t>, Pudipeddi M</w:t>
      </w:r>
      <w:r w:rsidR="00B05190">
        <w:t>.</w:t>
      </w:r>
      <w:r w:rsidR="00B05190" w:rsidRPr="005D52CD">
        <w:t>, Royce A</w:t>
      </w:r>
      <w:r w:rsidR="00B05190">
        <w:t>.</w:t>
      </w:r>
      <w:r w:rsidR="00B05190" w:rsidRPr="005D52CD">
        <w:t>E</w:t>
      </w:r>
      <w:r w:rsidR="00B05190">
        <w:t>.</w:t>
      </w:r>
      <w:r w:rsidR="00B05190" w:rsidRPr="005D52CD">
        <w:t>, Serajuddin A</w:t>
      </w:r>
      <w:r w:rsidR="00B05190">
        <w:t xml:space="preserve">.T.M., </w:t>
      </w:r>
      <w:r w:rsidR="00B05190" w:rsidRPr="005D52CD">
        <w:t>Development of clinical dosage forms for a poorly water</w:t>
      </w:r>
      <w:r w:rsidR="00B05190" w:rsidRPr="005D52CD">
        <w:rPr>
          <w:rFonts w:ascii="Calibri" w:hAnsi="Calibri"/>
        </w:rPr>
        <w:t>‐</w:t>
      </w:r>
      <w:r w:rsidR="00B05190" w:rsidRPr="005D52CD">
        <w:t xml:space="preserve">soluble drug II: Formulation and characterization of a </w:t>
      </w:r>
      <w:r w:rsidR="00B05190" w:rsidRPr="005D52CD">
        <w:lastRenderedPageBreak/>
        <w:t>novel solid microemulsion preconcentrate system for oral delivery of a poorly water</w:t>
      </w:r>
      <w:r w:rsidR="00B05190" w:rsidRPr="005D52CD">
        <w:rPr>
          <w:rFonts w:ascii="Calibri" w:hAnsi="Calibri"/>
        </w:rPr>
        <w:t>‐</w:t>
      </w:r>
      <w:r w:rsidR="00B05190" w:rsidRPr="005D52CD">
        <w:t xml:space="preserve">soluble </w:t>
      </w:r>
      <w:r w:rsidR="00B05190">
        <w:t>drug, J. Pharm. Sci. 98:1750-1764, 2009</w:t>
      </w:r>
    </w:p>
    <w:p w:rsidR="00B05190" w:rsidRPr="005D52CD" w:rsidRDefault="00FB28AF" w:rsidP="00B05190">
      <w:pPr>
        <w:pStyle w:val="NormalWeb"/>
        <w:spacing w:line="480" w:lineRule="auto"/>
      </w:pPr>
      <w:r w:rsidRPr="00FB28AF">
        <w:t xml:space="preserve">11. </w:t>
      </w:r>
      <w:r w:rsidR="00B05190" w:rsidRPr="005D52CD">
        <w:t>Sha</w:t>
      </w:r>
      <w:r w:rsidR="00B05190">
        <w:t xml:space="preserve">h A., Serajuddin A.T. M., </w:t>
      </w:r>
      <w:r w:rsidR="00B05190" w:rsidRPr="005D52CD">
        <w:t>Development of Solid SEDDS, I:</w:t>
      </w:r>
      <w:r w:rsidR="00B05190" w:rsidRPr="005D52CD">
        <w:rPr>
          <w:b/>
          <w:bCs/>
        </w:rPr>
        <w:t xml:space="preserve"> </w:t>
      </w:r>
      <w:r w:rsidR="00BB6E2A">
        <w:t>Use of Poloxamer 188 as both s</w:t>
      </w:r>
      <w:r w:rsidR="00B05190" w:rsidRPr="005D52CD">
        <w:t>ol</w:t>
      </w:r>
      <w:r w:rsidR="00BB6E2A">
        <w:t>idifying and emulsifying agent, Pharm. Res., DOI 10.1007/s11095-012-0704-x (published online: 28 February, 2012)</w:t>
      </w:r>
    </w:p>
    <w:p w:rsidR="00FB28AF" w:rsidRPr="00FB28AF" w:rsidRDefault="00FB28AF" w:rsidP="00FB28AF">
      <w:pPr>
        <w:pStyle w:val="NormalWeb"/>
        <w:spacing w:line="480" w:lineRule="auto"/>
      </w:pPr>
      <w:r w:rsidRPr="00FB28AF">
        <w:t>12. Patel N., Prajapati H., Dalrymple D.,</w:t>
      </w:r>
      <w:r w:rsidR="00BB6E2A">
        <w:t xml:space="preserve"> Serajuddin A., Development of s</w:t>
      </w:r>
      <w:r w:rsidRPr="00FB28AF">
        <w:t>olid SEDDS, II: Application of Acconon C-44</w:t>
      </w:r>
      <w:r w:rsidRPr="00FB28AF">
        <w:rPr>
          <w:vertAlign w:val="superscript"/>
        </w:rPr>
        <w:t>®</w:t>
      </w:r>
      <w:r w:rsidRPr="00FB28AF">
        <w:t xml:space="preserve"> and Gelucire 44/14</w:t>
      </w:r>
      <w:r w:rsidRPr="00FB28AF">
        <w:rPr>
          <w:vertAlign w:val="superscript"/>
        </w:rPr>
        <w:t>®</w:t>
      </w:r>
      <w:r w:rsidRPr="00FB28AF">
        <w:t xml:space="preserve"> as Solidifying Agents for Self-emulsifying Drug Delivery Systems of Medium Chain Triglyceride, </w:t>
      </w:r>
      <w:r w:rsidR="00B05190" w:rsidRPr="005D52CD">
        <w:t>J</w:t>
      </w:r>
      <w:r w:rsidR="00B05190">
        <w:t>.</w:t>
      </w:r>
      <w:r w:rsidR="00B05190" w:rsidRPr="005D52CD">
        <w:t>Excipients Food Chem</w:t>
      </w:r>
      <w:r w:rsidR="00B05190">
        <w:t>.</w:t>
      </w:r>
      <w:r w:rsidR="00BB6E2A">
        <w:t>, in press (manuscript 141)</w:t>
      </w:r>
      <w:r w:rsidRPr="00FB28AF">
        <w:t xml:space="preserve"> </w:t>
      </w:r>
    </w:p>
    <w:p w:rsidR="00FB28AF" w:rsidRPr="00FB28AF" w:rsidRDefault="00FB28AF" w:rsidP="00FB28AF">
      <w:pPr>
        <w:pStyle w:val="NormalWeb"/>
        <w:spacing w:line="480" w:lineRule="auto"/>
      </w:pPr>
      <w:r w:rsidRPr="00FB28AF">
        <w:t>13. Khan N</w:t>
      </w:r>
      <w:r w:rsidR="00B05190">
        <w:t>.</w:t>
      </w:r>
      <w:r w:rsidRPr="00FB28AF">
        <w:t>, Craig D</w:t>
      </w:r>
      <w:r w:rsidR="00B05190">
        <w:t>.</w:t>
      </w:r>
      <w:r w:rsidRPr="00FB28AF">
        <w:t>Q</w:t>
      </w:r>
      <w:r w:rsidR="00B05190">
        <w:t>.</w:t>
      </w:r>
      <w:r w:rsidRPr="00FB28AF">
        <w:t>M</w:t>
      </w:r>
      <w:r w:rsidR="00B05190">
        <w:t>.,</w:t>
      </w:r>
      <w:r w:rsidRPr="00FB28AF">
        <w:t xml:space="preserve"> The influence of drug incorporation on the structure and release properties of soli</w:t>
      </w:r>
      <w:r w:rsidR="00B05190">
        <w:t xml:space="preserve">d dispersions in lipid matrices, </w:t>
      </w:r>
      <w:r w:rsidRPr="00FB28AF">
        <w:t xml:space="preserve"> J</w:t>
      </w:r>
      <w:r w:rsidR="00B05190">
        <w:t>. Cont. Rel., 93:355-368, 2003</w:t>
      </w:r>
    </w:p>
    <w:p w:rsidR="00FB28AF" w:rsidRPr="00FB28AF" w:rsidRDefault="00FB28AF" w:rsidP="00FB28AF">
      <w:pPr>
        <w:pStyle w:val="NormalWeb"/>
        <w:spacing w:line="480" w:lineRule="auto"/>
      </w:pPr>
      <w:r w:rsidRPr="00FB28AF">
        <w:t>14. Passerini N</w:t>
      </w:r>
      <w:r w:rsidR="00DF3DAC">
        <w:t>.</w:t>
      </w:r>
      <w:r w:rsidRPr="00FB28AF">
        <w:t>, Perissutti B</w:t>
      </w:r>
      <w:r w:rsidR="00DF3DAC">
        <w:t>.</w:t>
      </w:r>
      <w:r w:rsidRPr="00FB28AF">
        <w:t>, Moneghini M</w:t>
      </w:r>
      <w:r w:rsidR="00DF3DAC">
        <w:t>.</w:t>
      </w:r>
      <w:r w:rsidRPr="00FB28AF">
        <w:t>, Voinovich D</w:t>
      </w:r>
      <w:r w:rsidR="00DF3DAC">
        <w:t>.</w:t>
      </w:r>
      <w:r w:rsidRPr="00FB28AF">
        <w:t>, Albertini B</w:t>
      </w:r>
      <w:r w:rsidR="00DF3DAC">
        <w:t>.</w:t>
      </w:r>
      <w:r w:rsidRPr="00FB28AF">
        <w:t>, Cavallari C</w:t>
      </w:r>
      <w:r w:rsidR="00DF3DAC">
        <w:t>.</w:t>
      </w:r>
      <w:r w:rsidRPr="00FB28AF">
        <w:t>, Rodriguez L</w:t>
      </w:r>
      <w:r w:rsidR="00DF3DAC">
        <w:t xml:space="preserve">., </w:t>
      </w:r>
      <w:r w:rsidRPr="00FB28AF">
        <w:t>Characterization of carbamazepine–Gelucire 50/13 microparticles prepared by a spray</w:t>
      </w:r>
      <w:r w:rsidRPr="00FB28AF">
        <w:rPr>
          <w:rFonts w:ascii="Calibri" w:hAnsi="Calibri"/>
        </w:rPr>
        <w:t>‐</w:t>
      </w:r>
      <w:r w:rsidRPr="00FB28AF">
        <w:t>congealing process using ultra</w:t>
      </w:r>
      <w:r w:rsidR="00DF3DAC">
        <w:t>sounds, J. Pharm. Sci., 91:699-707, 2002</w:t>
      </w:r>
    </w:p>
    <w:p w:rsidR="00FB28AF" w:rsidRPr="00FB28AF" w:rsidRDefault="00FB28AF" w:rsidP="00FB28AF">
      <w:pPr>
        <w:pStyle w:val="NormalWeb"/>
        <w:spacing w:line="480" w:lineRule="auto"/>
      </w:pPr>
      <w:r w:rsidRPr="00FB28AF">
        <w:t>15. Vippagunta S</w:t>
      </w:r>
      <w:r w:rsidR="00DF3DAC">
        <w:t>.</w:t>
      </w:r>
      <w:r w:rsidRPr="00FB28AF">
        <w:t>R</w:t>
      </w:r>
      <w:r w:rsidR="00DF3DAC">
        <w:t>.</w:t>
      </w:r>
      <w:r w:rsidRPr="00FB28AF">
        <w:t>, Maul K</w:t>
      </w:r>
      <w:r w:rsidR="00DF3DAC">
        <w:t>.</w:t>
      </w:r>
      <w:r w:rsidRPr="00FB28AF">
        <w:t>A</w:t>
      </w:r>
      <w:r w:rsidR="00DF3DAC">
        <w:t>.</w:t>
      </w:r>
      <w:r w:rsidRPr="00FB28AF">
        <w:t>, Tallavajhala S</w:t>
      </w:r>
      <w:r w:rsidR="00DF3DAC">
        <w:t>.</w:t>
      </w:r>
      <w:r w:rsidRPr="00FB28AF">
        <w:t>, Grant D</w:t>
      </w:r>
      <w:r w:rsidR="00DF3DAC">
        <w:t>.</w:t>
      </w:r>
      <w:r w:rsidRPr="00FB28AF">
        <w:t>J</w:t>
      </w:r>
      <w:r w:rsidR="00DF3DAC">
        <w:t>.</w:t>
      </w:r>
      <w:r w:rsidRPr="00FB28AF">
        <w:t>W</w:t>
      </w:r>
      <w:r w:rsidR="00DF3DAC">
        <w:t xml:space="preserve">., </w:t>
      </w:r>
      <w:r w:rsidRPr="00FB28AF">
        <w:t>Solid-state characterization of nifedipine solid dispe</w:t>
      </w:r>
      <w:r w:rsidR="00DF3DAC">
        <w:t>rsions, Int. J. Pharm., 236:111-123, 2002</w:t>
      </w:r>
      <w:r w:rsidRPr="00FB28AF">
        <w:t xml:space="preserve"> </w:t>
      </w:r>
    </w:p>
    <w:p w:rsidR="00FB28AF" w:rsidRPr="00FB28AF" w:rsidRDefault="00FB28AF" w:rsidP="00FB28AF">
      <w:pPr>
        <w:pStyle w:val="NormalWeb"/>
        <w:spacing w:line="480" w:lineRule="auto"/>
      </w:pPr>
      <w:r w:rsidRPr="00FB28AF">
        <w:t>16. Fini A</w:t>
      </w:r>
      <w:r w:rsidR="00DF3DAC">
        <w:t>.</w:t>
      </w:r>
      <w:r w:rsidRPr="00FB28AF">
        <w:t>, Moyano J</w:t>
      </w:r>
      <w:r w:rsidR="00DF3DAC">
        <w:t>.</w:t>
      </w:r>
      <w:r w:rsidRPr="00FB28AF">
        <w:t>R</w:t>
      </w:r>
      <w:r w:rsidR="00DF3DAC">
        <w:t>.</w:t>
      </w:r>
      <w:r w:rsidRPr="00FB28AF">
        <w:t>, Gines J</w:t>
      </w:r>
      <w:r w:rsidR="00DF3DAC">
        <w:t>.</w:t>
      </w:r>
      <w:r w:rsidRPr="00FB28AF">
        <w:t>M</w:t>
      </w:r>
      <w:r w:rsidR="00DF3DAC">
        <w:t>.</w:t>
      </w:r>
      <w:r w:rsidRPr="00FB28AF">
        <w:t>, Perez-Martinez J</w:t>
      </w:r>
      <w:r w:rsidR="00DF3DAC">
        <w:t>.</w:t>
      </w:r>
      <w:r w:rsidRPr="00FB28AF">
        <w:t>I</w:t>
      </w:r>
      <w:r w:rsidR="00DF3DAC">
        <w:t>.</w:t>
      </w:r>
      <w:r w:rsidRPr="00FB28AF">
        <w:t>, Rabasco A</w:t>
      </w:r>
      <w:r w:rsidR="00DF3DAC">
        <w:t>.</w:t>
      </w:r>
      <w:r w:rsidRPr="00FB28AF">
        <w:t>M</w:t>
      </w:r>
      <w:r w:rsidR="00DF3DAC">
        <w:t xml:space="preserve">., </w:t>
      </w:r>
      <w:r w:rsidRPr="00FB28AF">
        <w:t>Diclofenac salts, II. Solid dispersions</w:t>
      </w:r>
      <w:r w:rsidR="00DF3DAC">
        <w:t xml:space="preserve"> in PEG6000 and Gelucire 50/13, </w:t>
      </w:r>
      <w:r w:rsidRPr="00FB28AF">
        <w:t>Eur</w:t>
      </w:r>
      <w:r w:rsidR="00DF3DAC">
        <w:t>. J.</w:t>
      </w:r>
      <w:r w:rsidRPr="00FB28AF">
        <w:t xml:space="preserve"> </w:t>
      </w:r>
      <w:r w:rsidR="00DF3DAC">
        <w:t>P</w:t>
      </w:r>
      <w:r w:rsidRPr="00FB28AF">
        <w:t>harm</w:t>
      </w:r>
      <w:r w:rsidR="00DF3DAC">
        <w:t>. Biopharm., 60:99-111, 2005</w:t>
      </w:r>
    </w:p>
    <w:p w:rsidR="00FB28AF" w:rsidRPr="00FB28AF" w:rsidRDefault="00FB28AF" w:rsidP="00FB28AF">
      <w:pPr>
        <w:pStyle w:val="NormalWeb"/>
        <w:spacing w:line="480" w:lineRule="auto"/>
      </w:pPr>
      <w:r w:rsidRPr="00FB28AF">
        <w:lastRenderedPageBreak/>
        <w:t>17. Shrivastava A</w:t>
      </w:r>
      <w:r w:rsidR="00DF3DAC">
        <w:t>.</w:t>
      </w:r>
      <w:r w:rsidRPr="00FB28AF">
        <w:t>R</w:t>
      </w:r>
      <w:r w:rsidR="00DF3DAC">
        <w:t>.</w:t>
      </w:r>
      <w:r w:rsidRPr="00FB28AF">
        <w:t>, Ursekar B</w:t>
      </w:r>
      <w:r w:rsidR="00DF3DAC">
        <w:t>.</w:t>
      </w:r>
      <w:r w:rsidRPr="00FB28AF">
        <w:t>, Kapadia C</w:t>
      </w:r>
      <w:r w:rsidR="00DF3DAC">
        <w:t>.</w:t>
      </w:r>
      <w:r w:rsidRPr="00FB28AF">
        <w:t>J</w:t>
      </w:r>
      <w:r w:rsidR="00DF3DAC">
        <w:t>.,</w:t>
      </w:r>
      <w:r w:rsidRPr="00FB28AF">
        <w:t xml:space="preserve"> Design, optimization, preparation and evaluation of dispersion granules of valsart</w:t>
      </w:r>
      <w:r w:rsidR="00DF3DAC">
        <w:t>an and formulation into tablets, Current Drug Delivery 6:28-37, 2009</w:t>
      </w:r>
    </w:p>
    <w:p w:rsidR="00FB28AF" w:rsidRPr="00FB28AF" w:rsidRDefault="00FB28AF" w:rsidP="00FB28AF">
      <w:pPr>
        <w:pStyle w:val="NormalWeb"/>
        <w:spacing w:line="480" w:lineRule="auto"/>
      </w:pPr>
      <w:r w:rsidRPr="00FB28AF">
        <w:t>18. Qi S</w:t>
      </w:r>
      <w:r w:rsidR="00DF3DAC">
        <w:t>.</w:t>
      </w:r>
      <w:r w:rsidRPr="00FB28AF">
        <w:t>, Marchaud D</w:t>
      </w:r>
      <w:r w:rsidR="00DF3DAC">
        <w:t>.</w:t>
      </w:r>
      <w:r w:rsidRPr="00FB28AF">
        <w:t>, Craig D</w:t>
      </w:r>
      <w:r w:rsidR="00DF3DAC">
        <w:t>.</w:t>
      </w:r>
      <w:r w:rsidRPr="00FB28AF">
        <w:t>Q</w:t>
      </w:r>
      <w:r w:rsidR="00DF3DAC">
        <w:t>.</w:t>
      </w:r>
      <w:r w:rsidRPr="00FB28AF">
        <w:t>M</w:t>
      </w:r>
      <w:r w:rsidR="00DF3DAC">
        <w:t xml:space="preserve">., </w:t>
      </w:r>
      <w:r w:rsidRPr="00FB28AF">
        <w:t>An investigation into the mechanism of dissolution rate enhancement of poorly water</w:t>
      </w:r>
      <w:r w:rsidRPr="00FB28AF">
        <w:rPr>
          <w:rFonts w:ascii="Calibri" w:hAnsi="Calibri"/>
        </w:rPr>
        <w:t>‐</w:t>
      </w:r>
      <w:r w:rsidRPr="00FB28AF">
        <w:t>so</w:t>
      </w:r>
      <w:r w:rsidR="00DF3DAC">
        <w:t>luble drugs from spray chilled G</w:t>
      </w:r>
      <w:r w:rsidRPr="00FB28AF">
        <w:t>elucire 50/13 micros</w:t>
      </w:r>
      <w:r w:rsidR="00DF3DAC">
        <w:t>pheres, J. Pharm. Sci., 99:262-274, 2010</w:t>
      </w:r>
    </w:p>
    <w:p w:rsidR="00FB28AF" w:rsidRPr="00FB28AF" w:rsidRDefault="00FB28AF" w:rsidP="00FB28AF">
      <w:pPr>
        <w:pStyle w:val="NormalWeb"/>
        <w:spacing w:line="480" w:lineRule="auto"/>
      </w:pPr>
      <w:r w:rsidRPr="00FB28AF">
        <w:t>19. Shimpi S</w:t>
      </w:r>
      <w:r w:rsidR="00DF3DAC">
        <w:t>.</w:t>
      </w:r>
      <w:r w:rsidRPr="00FB28AF">
        <w:t>L</w:t>
      </w:r>
      <w:r w:rsidR="00DF3DAC">
        <w:t>.</w:t>
      </w:r>
      <w:r w:rsidRPr="00FB28AF">
        <w:t>, Chauhan B</w:t>
      </w:r>
      <w:r w:rsidR="00DF3DAC">
        <w:t>.</w:t>
      </w:r>
      <w:r w:rsidRPr="00FB28AF">
        <w:t>, Mahadik K</w:t>
      </w:r>
      <w:r w:rsidR="00DF3DAC">
        <w:t>.</w:t>
      </w:r>
      <w:r w:rsidRPr="00FB28AF">
        <w:t>, Paradkar A</w:t>
      </w:r>
      <w:r w:rsidR="00DF3DAC">
        <w:t xml:space="preserve">., </w:t>
      </w:r>
      <w:r w:rsidRPr="00FB28AF">
        <w:t>Stabilization and improved in vivo performance of amorphous e</w:t>
      </w:r>
      <w:r w:rsidR="00DF3DAC">
        <w:t xml:space="preserve">toricoxib using Gelucire 50/13, </w:t>
      </w:r>
      <w:r w:rsidRPr="00FB28AF">
        <w:t>Pharm</w:t>
      </w:r>
      <w:r w:rsidR="00DF3DAC">
        <w:t xml:space="preserve">. </w:t>
      </w:r>
      <w:r w:rsidRPr="00FB28AF">
        <w:t>Res</w:t>
      </w:r>
      <w:r w:rsidR="00DF3DAC">
        <w:t>. 22:1727-1734, 2005</w:t>
      </w:r>
    </w:p>
    <w:p w:rsidR="00FB28AF" w:rsidRPr="00FB28AF" w:rsidRDefault="00FB28AF" w:rsidP="00FB28AF">
      <w:pPr>
        <w:pStyle w:val="NormalWeb"/>
        <w:spacing w:line="480" w:lineRule="auto"/>
      </w:pPr>
      <w:r w:rsidRPr="00FB28AF">
        <w:t>20. Dhumal R</w:t>
      </w:r>
      <w:r w:rsidR="00DF3DAC">
        <w:t>.</w:t>
      </w:r>
      <w:r w:rsidRPr="00FB28AF">
        <w:t>S</w:t>
      </w:r>
      <w:r w:rsidR="00DF3DAC">
        <w:t>.</w:t>
      </w:r>
      <w:r w:rsidRPr="00FB28AF">
        <w:t>, Biradar S</w:t>
      </w:r>
      <w:r w:rsidR="00DF3DAC">
        <w:t>.</w:t>
      </w:r>
      <w:r w:rsidRPr="00FB28AF">
        <w:t>V</w:t>
      </w:r>
      <w:r w:rsidR="00DF3DAC">
        <w:t>.</w:t>
      </w:r>
      <w:r w:rsidRPr="00FB28AF">
        <w:t>, Aher S</w:t>
      </w:r>
      <w:r w:rsidR="00DF3DAC">
        <w:t>.</w:t>
      </w:r>
      <w:r w:rsidRPr="00FB28AF">
        <w:t>, Paradkar A</w:t>
      </w:r>
      <w:r w:rsidR="00DF3DAC">
        <w:t>.</w:t>
      </w:r>
      <w:r w:rsidRPr="00FB28AF">
        <w:t>R</w:t>
      </w:r>
      <w:r w:rsidR="00DF3DAC">
        <w:t xml:space="preserve">., </w:t>
      </w:r>
      <w:r w:rsidRPr="00FB28AF">
        <w:t>Cefuroxime axetil solid dispersion with polyglycolized glycerides for improved stability and bioavailability</w:t>
      </w:r>
      <w:r w:rsidR="00DF3DAC">
        <w:t>, J. Pharm. Pharmacol., 61:743-751, 2009</w:t>
      </w:r>
    </w:p>
    <w:p w:rsidR="00DF3DAC" w:rsidRPr="00E71A0F" w:rsidRDefault="00FB28AF" w:rsidP="00E71A0F">
      <w:pPr>
        <w:pStyle w:val="NormalWeb"/>
        <w:spacing w:line="480" w:lineRule="auto"/>
      </w:pPr>
      <w:r w:rsidRPr="00E71A0F">
        <w:t xml:space="preserve">21. </w:t>
      </w:r>
      <w:r w:rsidR="00DF3DAC" w:rsidRPr="00E71A0F">
        <w:t>Serajuddin A.T.M., Solid dispersion of poorly water</w:t>
      </w:r>
      <w:r w:rsidR="00DF3DAC" w:rsidRPr="00E71A0F">
        <w:rPr>
          <w:rFonts w:ascii="Calibri" w:hAnsi="Calibri"/>
        </w:rPr>
        <w:t>‐</w:t>
      </w:r>
      <w:r w:rsidR="00DF3DAC" w:rsidRPr="00E71A0F">
        <w:t>soluble drugs: early promises, subsequent problems, and recent breakthroughs, J. Pharm. Sci. 88:1058-1066, 1999</w:t>
      </w:r>
    </w:p>
    <w:p w:rsidR="00E71A0F" w:rsidRDefault="00FB28AF" w:rsidP="00E71A0F">
      <w:pPr>
        <w:autoSpaceDE w:val="0"/>
        <w:autoSpaceDN w:val="0"/>
        <w:adjustRightInd w:val="0"/>
        <w:spacing w:after="0" w:line="480" w:lineRule="auto"/>
        <w:rPr>
          <w:rFonts w:ascii="Times New Roman" w:hAnsi="Times New Roman" w:cs="Times New Roman"/>
          <w:sz w:val="24"/>
          <w:szCs w:val="24"/>
        </w:rPr>
      </w:pPr>
      <w:r w:rsidRPr="00E71A0F">
        <w:rPr>
          <w:rFonts w:ascii="Times New Roman" w:hAnsi="Times New Roman" w:cs="Times New Roman"/>
          <w:sz w:val="24"/>
          <w:szCs w:val="24"/>
        </w:rPr>
        <w:t xml:space="preserve">22. </w:t>
      </w:r>
      <w:r w:rsidR="00E71A0F" w:rsidRPr="00E71A0F">
        <w:rPr>
          <w:rFonts w:ascii="Times New Roman" w:hAnsi="Times New Roman" w:cs="Times New Roman"/>
          <w:sz w:val="24"/>
          <w:szCs w:val="24"/>
        </w:rPr>
        <w:t>Yagi N., Terashima Y., Kenmotsu H., Sekikawa H., Takada M., Dissolution behavior of probucol from solid dispersion systems of probucol polyvinylpyrrolidone, Chem. Pharm. Bull., 44:241-244. 1996</w:t>
      </w:r>
    </w:p>
    <w:p w:rsidR="00BB6E2A" w:rsidRPr="00E71A0F" w:rsidRDefault="00BB6E2A" w:rsidP="00E71A0F">
      <w:pPr>
        <w:autoSpaceDE w:val="0"/>
        <w:autoSpaceDN w:val="0"/>
        <w:adjustRightInd w:val="0"/>
        <w:spacing w:after="0" w:line="480" w:lineRule="auto"/>
        <w:rPr>
          <w:rFonts w:ascii="Times New Roman" w:hAnsi="Times New Roman" w:cs="Times New Roman"/>
          <w:sz w:val="24"/>
          <w:szCs w:val="24"/>
        </w:rPr>
      </w:pPr>
    </w:p>
    <w:p w:rsidR="006C4093" w:rsidRDefault="00E71A0F" w:rsidP="00323C40">
      <w:pPr>
        <w:autoSpaceDE w:val="0"/>
        <w:autoSpaceDN w:val="0"/>
        <w:adjustRightInd w:val="0"/>
        <w:spacing w:after="0" w:line="480" w:lineRule="auto"/>
        <w:rPr>
          <w:rFonts w:ascii="Times New Roman" w:hAnsi="Times New Roman" w:cs="Times New Roman"/>
          <w:sz w:val="24"/>
          <w:szCs w:val="24"/>
        </w:rPr>
      </w:pPr>
      <w:r w:rsidRPr="00E71A0F">
        <w:rPr>
          <w:rFonts w:ascii="Times New Roman" w:hAnsi="Times New Roman" w:cs="Times New Roman"/>
          <w:sz w:val="24"/>
          <w:szCs w:val="24"/>
        </w:rPr>
        <w:t>23. Zaghloul A., Khattab I., Nada K.A., Al-Saidan S., Preparation, characterization and optimization of probucol self-emulsified drug delivery system to enhance solubility and dissolution, Pharmazie, 9: 654-660, 2008</w:t>
      </w:r>
    </w:p>
    <w:p w:rsidR="00BB6E2A" w:rsidRDefault="00BB6E2A" w:rsidP="00323C40">
      <w:pPr>
        <w:autoSpaceDE w:val="0"/>
        <w:autoSpaceDN w:val="0"/>
        <w:adjustRightInd w:val="0"/>
        <w:spacing w:after="0" w:line="480" w:lineRule="auto"/>
        <w:rPr>
          <w:rFonts w:ascii="Times New Roman" w:hAnsi="Times New Roman" w:cs="Times New Roman"/>
          <w:sz w:val="24"/>
          <w:szCs w:val="24"/>
        </w:rPr>
      </w:pPr>
    </w:p>
    <w:p w:rsidR="00323C40" w:rsidRPr="009E0E57" w:rsidRDefault="00323C40" w:rsidP="00323C40">
      <w:pPr>
        <w:autoSpaceDE w:val="0"/>
        <w:autoSpaceDN w:val="0"/>
        <w:adjustRightInd w:val="0"/>
        <w:spacing w:after="0" w:line="480" w:lineRule="auto"/>
        <w:rPr>
          <w:rFonts w:ascii="Times New Roman" w:hAnsi="Times New Roman"/>
          <w:bCs/>
          <w:sz w:val="24"/>
          <w:szCs w:val="24"/>
        </w:rPr>
      </w:pPr>
      <w:r>
        <w:rPr>
          <w:rFonts w:ascii="Times New Roman" w:hAnsi="Times New Roman" w:cs="Times New Roman"/>
          <w:sz w:val="24"/>
          <w:szCs w:val="24"/>
        </w:rPr>
        <w:lastRenderedPageBreak/>
        <w:t xml:space="preserve">24. </w:t>
      </w:r>
      <w:hyperlink r:id="rId6" w:history="1">
        <w:r w:rsidRPr="009E0E57">
          <w:rPr>
            <w:rFonts w:ascii="Times New Roman" w:eastAsia="Times New Roman" w:hAnsi="Times New Roman"/>
            <w:bCs/>
            <w:color w:val="333333"/>
            <w:sz w:val="24"/>
            <w:szCs w:val="24"/>
          </w:rPr>
          <w:t>Greenspan</w:t>
        </w:r>
      </w:hyperlink>
      <w:r w:rsidRPr="009E0E57">
        <w:rPr>
          <w:rFonts w:ascii="Times New Roman" w:eastAsia="Times New Roman" w:hAnsi="Times New Roman"/>
          <w:bCs/>
          <w:color w:val="403838"/>
          <w:sz w:val="24"/>
          <w:szCs w:val="24"/>
        </w:rPr>
        <w:t xml:space="preserve"> P., </w:t>
      </w:r>
      <w:hyperlink r:id="rId7" w:history="1">
        <w:r w:rsidRPr="009E0E57">
          <w:rPr>
            <w:rFonts w:ascii="Times New Roman" w:eastAsia="Times New Roman" w:hAnsi="Times New Roman"/>
            <w:bCs/>
            <w:color w:val="333333"/>
            <w:sz w:val="24"/>
            <w:szCs w:val="24"/>
          </w:rPr>
          <w:t>Fowler</w:t>
        </w:r>
      </w:hyperlink>
      <w:r w:rsidRPr="009E0E57">
        <w:rPr>
          <w:rFonts w:ascii="Times New Roman" w:eastAsia="Times New Roman" w:hAnsi="Times New Roman"/>
          <w:bCs/>
          <w:color w:val="403838"/>
          <w:sz w:val="24"/>
          <w:szCs w:val="24"/>
        </w:rPr>
        <w:t xml:space="preserve"> S.D., </w:t>
      </w:r>
      <w:r w:rsidRPr="009E0E57">
        <w:rPr>
          <w:rFonts w:ascii="Times New Roman" w:hAnsi="Times New Roman"/>
          <w:bCs/>
          <w:sz w:val="24"/>
          <w:szCs w:val="24"/>
        </w:rPr>
        <w:t xml:space="preserve">Spectrofluorometric studies </w:t>
      </w:r>
      <w:r w:rsidRPr="009E0E57">
        <w:rPr>
          <w:rFonts w:ascii="Times New Roman" w:hAnsi="Times New Roman"/>
          <w:sz w:val="24"/>
          <w:szCs w:val="24"/>
        </w:rPr>
        <w:t xml:space="preserve">of </w:t>
      </w:r>
      <w:r w:rsidRPr="009E0E57">
        <w:rPr>
          <w:rFonts w:ascii="Times New Roman" w:hAnsi="Times New Roman"/>
          <w:bCs/>
          <w:sz w:val="24"/>
          <w:szCs w:val="24"/>
        </w:rPr>
        <w:t>the lipid probe,</w:t>
      </w:r>
    </w:p>
    <w:p w:rsidR="00323C40" w:rsidRPr="00813D43" w:rsidRDefault="00323C40" w:rsidP="00323C40">
      <w:pPr>
        <w:autoSpaceDE w:val="0"/>
        <w:autoSpaceDN w:val="0"/>
        <w:adjustRightInd w:val="0"/>
        <w:spacing w:after="0" w:line="480" w:lineRule="auto"/>
        <w:rPr>
          <w:rFonts w:ascii="Times New Roman" w:hAnsi="Times New Roman"/>
          <w:sz w:val="24"/>
          <w:szCs w:val="24"/>
        </w:rPr>
      </w:pPr>
      <w:r>
        <w:rPr>
          <w:rFonts w:ascii="Times New Roman" w:hAnsi="Times New Roman"/>
          <w:bCs/>
          <w:sz w:val="24"/>
          <w:szCs w:val="24"/>
        </w:rPr>
        <w:t xml:space="preserve">Nile red, </w:t>
      </w:r>
      <w:r w:rsidRPr="009E0E57">
        <w:rPr>
          <w:rFonts w:ascii="Times New Roman" w:hAnsi="Times New Roman"/>
          <w:bCs/>
          <w:sz w:val="24"/>
          <w:szCs w:val="24"/>
        </w:rPr>
        <w:t xml:space="preserve"> </w:t>
      </w:r>
      <w:r>
        <w:rPr>
          <w:rFonts w:ascii="Times New Roman" w:hAnsi="Times New Roman"/>
          <w:sz w:val="24"/>
          <w:szCs w:val="24"/>
        </w:rPr>
        <w:t>J. Lipid Res.</w:t>
      </w:r>
      <w:r w:rsidRPr="009E0E57">
        <w:rPr>
          <w:rFonts w:ascii="Times New Roman" w:hAnsi="Times New Roman"/>
          <w:sz w:val="24"/>
          <w:szCs w:val="24"/>
        </w:rPr>
        <w:t>,</w:t>
      </w:r>
      <w:r w:rsidRPr="009E0E57">
        <w:rPr>
          <w:rStyle w:val="apple-converted-space"/>
          <w:rFonts w:ascii="Times New Roman" w:hAnsi="Times New Roman"/>
          <w:color w:val="333300"/>
          <w:sz w:val="24"/>
          <w:szCs w:val="24"/>
          <w:shd w:val="clear" w:color="auto" w:fill="FFFFFF"/>
        </w:rPr>
        <w:t> </w:t>
      </w:r>
      <w:r>
        <w:rPr>
          <w:rStyle w:val="slug-vol"/>
          <w:rFonts w:ascii="Times New Roman" w:hAnsi="Times New Roman"/>
          <w:color w:val="333300"/>
          <w:sz w:val="24"/>
          <w:szCs w:val="24"/>
          <w:bdr w:val="none" w:sz="0" w:space="0" w:color="auto" w:frame="1"/>
          <w:shd w:val="clear" w:color="auto" w:fill="FFFFFF"/>
        </w:rPr>
        <w:t>26:</w:t>
      </w:r>
      <w:r w:rsidRPr="009E0E57">
        <w:rPr>
          <w:rStyle w:val="apple-converted-space"/>
          <w:rFonts w:ascii="Times New Roman" w:hAnsi="Times New Roman"/>
          <w:color w:val="333300"/>
          <w:sz w:val="24"/>
          <w:szCs w:val="24"/>
          <w:bdr w:val="none" w:sz="0" w:space="0" w:color="auto" w:frame="1"/>
          <w:shd w:val="clear" w:color="auto" w:fill="FFFFFF"/>
        </w:rPr>
        <w:t> </w:t>
      </w:r>
      <w:r w:rsidRPr="009E0E57">
        <w:rPr>
          <w:rStyle w:val="slug-pages"/>
          <w:rFonts w:ascii="Times New Roman" w:hAnsi="Times New Roman"/>
          <w:color w:val="333300"/>
          <w:sz w:val="24"/>
          <w:szCs w:val="24"/>
          <w:bdr w:val="none" w:sz="0" w:space="0" w:color="auto" w:frame="1"/>
          <w:shd w:val="clear" w:color="auto" w:fill="FFFFFF"/>
        </w:rPr>
        <w:t>781-9. 198</w:t>
      </w:r>
      <w:r w:rsidRPr="002B19CA">
        <w:rPr>
          <w:rStyle w:val="slug-pages"/>
          <w:rFonts w:ascii="Times New Roman" w:hAnsi="Times New Roman"/>
          <w:color w:val="333300"/>
          <w:sz w:val="24"/>
          <w:szCs w:val="24"/>
          <w:bdr w:val="none" w:sz="0" w:space="0" w:color="auto" w:frame="1"/>
          <w:shd w:val="clear" w:color="auto" w:fill="FFFFFF"/>
        </w:rPr>
        <w:t>5</w:t>
      </w:r>
    </w:p>
    <w:p w:rsidR="00DF3DAC" w:rsidRPr="005D52CD" w:rsidRDefault="00323C40" w:rsidP="00DF3DAC">
      <w:pPr>
        <w:pStyle w:val="NormalWeb"/>
        <w:spacing w:line="480" w:lineRule="auto"/>
      </w:pPr>
      <w:r>
        <w:t>25</w:t>
      </w:r>
      <w:r w:rsidR="00E71A0F">
        <w:t xml:space="preserve">. </w:t>
      </w:r>
      <w:r w:rsidR="00DF3DAC" w:rsidRPr="005D52CD">
        <w:t>Strawhecker K</w:t>
      </w:r>
      <w:r w:rsidR="00DF3DAC">
        <w:t>.</w:t>
      </w:r>
      <w:r w:rsidR="00DF3DAC" w:rsidRPr="005D52CD">
        <w:t>, Manias E</w:t>
      </w:r>
      <w:r w:rsidR="00DF3DAC">
        <w:t>.,</w:t>
      </w:r>
      <w:r w:rsidR="00DF3DAC" w:rsidRPr="005D52CD">
        <w:t xml:space="preserve"> Crystallization behavior of poly (ethylene oxide) in the presence</w:t>
      </w:r>
      <w:r w:rsidR="00DF3DAC">
        <w:t xml:space="preserve"> of Na montmorillonite fillers, </w:t>
      </w:r>
      <w:r w:rsidR="00DF3DAC" w:rsidRPr="005D52CD">
        <w:t>Che</w:t>
      </w:r>
      <w:r w:rsidR="00BB6E2A">
        <w:t>mistry of M</w:t>
      </w:r>
      <w:r w:rsidR="00DF3DAC">
        <w:t>aterials</w:t>
      </w:r>
      <w:r w:rsidR="00BB6E2A">
        <w:t>,</w:t>
      </w:r>
      <w:r w:rsidR="00DF3DAC">
        <w:t xml:space="preserve"> 15:844-849, 2003</w:t>
      </w:r>
    </w:p>
    <w:p w:rsidR="00DF3DAC" w:rsidRPr="005D52CD" w:rsidRDefault="00323C40" w:rsidP="00DF3DAC">
      <w:pPr>
        <w:pStyle w:val="NormalWeb"/>
        <w:spacing w:line="480" w:lineRule="auto"/>
      </w:pPr>
      <w:r>
        <w:t>26</w:t>
      </w:r>
      <w:r w:rsidR="00FB28AF" w:rsidRPr="00FB28AF">
        <w:t xml:space="preserve">. </w:t>
      </w:r>
      <w:r w:rsidR="00DF3DAC" w:rsidRPr="005D52CD">
        <w:t>Gines J</w:t>
      </w:r>
      <w:r w:rsidR="00DF3DAC">
        <w:t>.</w:t>
      </w:r>
      <w:r w:rsidR="00DF3DAC" w:rsidRPr="005D52CD">
        <w:t>, Arias M</w:t>
      </w:r>
      <w:r w:rsidR="00DF3DAC">
        <w:t>.</w:t>
      </w:r>
      <w:r w:rsidR="00DF3DAC" w:rsidRPr="005D52CD">
        <w:t>, Moyano J</w:t>
      </w:r>
      <w:r w:rsidR="00DF3DAC">
        <w:t>.</w:t>
      </w:r>
      <w:r w:rsidR="00DF3DAC" w:rsidRPr="005D52CD">
        <w:t>, Sanchez-Soto P</w:t>
      </w:r>
      <w:r w:rsidR="00DF3DAC">
        <w:t>.,</w:t>
      </w:r>
      <w:r w:rsidR="00DF3DAC" w:rsidRPr="005D52CD">
        <w:t xml:space="preserve"> Thermal investigation of crystallization of polyethylene glycols in solid d</w:t>
      </w:r>
      <w:r w:rsidR="00DF3DAC">
        <w:t xml:space="preserve">ispersions containing oxazepam, </w:t>
      </w:r>
      <w:r w:rsidR="00DF3DAC" w:rsidRPr="005D52CD">
        <w:t>Int</w:t>
      </w:r>
      <w:r w:rsidR="00DF3DAC">
        <w:t>.</w:t>
      </w:r>
      <w:r w:rsidR="00DF3DAC" w:rsidRPr="005D52CD">
        <w:t xml:space="preserve"> J</w:t>
      </w:r>
      <w:r w:rsidR="00DF3DAC">
        <w:t>.</w:t>
      </w:r>
      <w:r w:rsidR="00DF3DAC" w:rsidRPr="005D52CD">
        <w:t xml:space="preserve"> Pharm</w:t>
      </w:r>
      <w:r w:rsidR="00DF3DAC">
        <w:t>.,</w:t>
      </w:r>
      <w:r w:rsidR="00DF3DAC" w:rsidRPr="005D52CD">
        <w:t xml:space="preserve"> 143:247-53</w:t>
      </w:r>
      <w:r w:rsidR="00DF3DAC">
        <w:t>, 1996</w:t>
      </w:r>
      <w:r w:rsidR="00DF3DAC" w:rsidRPr="005D52CD">
        <w:t xml:space="preserve"> </w:t>
      </w:r>
    </w:p>
    <w:p w:rsidR="00DF3DAC" w:rsidRPr="005D52CD" w:rsidRDefault="00317A64" w:rsidP="00DF3DAC">
      <w:pPr>
        <w:pStyle w:val="NormalWeb"/>
        <w:spacing w:line="480" w:lineRule="auto"/>
      </w:pPr>
      <w:r>
        <w:t>27</w:t>
      </w:r>
      <w:r w:rsidR="00FB28AF" w:rsidRPr="00FB28AF">
        <w:t xml:space="preserve">. </w:t>
      </w:r>
      <w:r w:rsidR="00DF3DAC" w:rsidRPr="005D52CD">
        <w:t>Gránásy L</w:t>
      </w:r>
      <w:r w:rsidR="00DF3DAC">
        <w:t>.</w:t>
      </w:r>
      <w:r w:rsidR="00DF3DAC" w:rsidRPr="005D52CD">
        <w:t>, Pusztai T</w:t>
      </w:r>
      <w:r w:rsidR="00DF3DAC">
        <w:t>.</w:t>
      </w:r>
      <w:r w:rsidR="00DF3DAC" w:rsidRPr="005D52CD">
        <w:t>, Tegze G</w:t>
      </w:r>
      <w:r w:rsidR="00DF3DAC">
        <w:t>.</w:t>
      </w:r>
      <w:r w:rsidR="00DF3DAC" w:rsidRPr="005D52CD">
        <w:t>, Warren J</w:t>
      </w:r>
      <w:r w:rsidR="00DF3DAC">
        <w:t>.</w:t>
      </w:r>
      <w:r w:rsidR="00DF3DAC" w:rsidRPr="005D52CD">
        <w:t>A</w:t>
      </w:r>
      <w:r w:rsidR="00DF3DAC">
        <w:t>.</w:t>
      </w:r>
      <w:r w:rsidR="00DF3DAC" w:rsidRPr="005D52CD">
        <w:t>, Douglas J</w:t>
      </w:r>
      <w:r w:rsidR="00DF3DAC">
        <w:t>.</w:t>
      </w:r>
      <w:r w:rsidR="00DF3DAC" w:rsidRPr="005D52CD">
        <w:t>F</w:t>
      </w:r>
      <w:r w:rsidR="00DF3DAC">
        <w:t xml:space="preserve">., </w:t>
      </w:r>
      <w:r w:rsidR="00DF3DAC" w:rsidRPr="005D52CD">
        <w:t>Growth and form of</w:t>
      </w:r>
      <w:r w:rsidR="00DF3DAC">
        <w:t xml:space="preserve"> spherulites. Physical Review E, </w:t>
      </w:r>
      <w:r w:rsidR="00DF3DAC" w:rsidRPr="005D52CD">
        <w:t>72:011605</w:t>
      </w:r>
      <w:r w:rsidR="00DF3DAC">
        <w:t>, 2005</w:t>
      </w:r>
    </w:p>
    <w:p w:rsidR="00FB28AF" w:rsidRPr="00FB28AF" w:rsidRDefault="00317A64" w:rsidP="00FB28AF">
      <w:pPr>
        <w:pStyle w:val="NormalWeb"/>
        <w:spacing w:line="480" w:lineRule="auto"/>
      </w:pPr>
      <w:r>
        <w:t>28</w:t>
      </w:r>
      <w:r w:rsidR="00FB28AF" w:rsidRPr="00FB28AF">
        <w:t>. Li S</w:t>
      </w:r>
      <w:r w:rsidR="00DF3DAC">
        <w:t>.</w:t>
      </w:r>
      <w:r w:rsidR="00FB28AF" w:rsidRPr="00FB28AF">
        <w:t>, He H</w:t>
      </w:r>
      <w:r w:rsidR="00DF3DAC">
        <w:t>.</w:t>
      </w:r>
      <w:r w:rsidR="00FB28AF" w:rsidRPr="00FB28AF">
        <w:t>, Parthiban L</w:t>
      </w:r>
      <w:r w:rsidR="00DF3DAC">
        <w:t>.</w:t>
      </w:r>
      <w:r w:rsidR="00FB28AF" w:rsidRPr="00FB28AF">
        <w:t>J</w:t>
      </w:r>
      <w:r w:rsidR="00DF3DAC">
        <w:t>.</w:t>
      </w:r>
      <w:r w:rsidR="00FB28AF" w:rsidRPr="00FB28AF">
        <w:t>, Yin H</w:t>
      </w:r>
      <w:r w:rsidR="00DF3DAC">
        <w:t>.</w:t>
      </w:r>
      <w:r w:rsidR="00FB28AF" w:rsidRPr="00FB28AF">
        <w:t>, Serajuddin A</w:t>
      </w:r>
      <w:r w:rsidR="00DF3DAC">
        <w:t xml:space="preserve">., </w:t>
      </w:r>
      <w:r w:rsidR="00FB28AF" w:rsidRPr="00FB28AF">
        <w:t>IV</w:t>
      </w:r>
      <w:r w:rsidR="00FB28AF" w:rsidRPr="00FB28AF">
        <w:rPr>
          <w:rFonts w:ascii="Calibri" w:hAnsi="Calibri"/>
        </w:rPr>
        <w:t>‐</w:t>
      </w:r>
      <w:r w:rsidR="00FB28AF" w:rsidRPr="00FB28AF">
        <w:t>IVC considerations in the development of immediate</w:t>
      </w:r>
      <w:r w:rsidR="00FB28AF" w:rsidRPr="00FB28AF">
        <w:rPr>
          <w:rFonts w:ascii="Calibri" w:hAnsi="Calibri"/>
        </w:rPr>
        <w:t>‐</w:t>
      </w:r>
      <w:r w:rsidR="00FB28AF" w:rsidRPr="00FB28AF">
        <w:t>release oral dosage form</w:t>
      </w:r>
      <w:r w:rsidR="00DF3DAC">
        <w:t>,</w:t>
      </w:r>
      <w:r w:rsidR="00FB28AF" w:rsidRPr="00FB28AF">
        <w:t xml:space="preserve"> J</w:t>
      </w:r>
      <w:r w:rsidR="00DF3DAC">
        <w:t>.</w:t>
      </w:r>
      <w:r w:rsidR="00FB28AF" w:rsidRPr="00FB28AF">
        <w:t xml:space="preserve"> Pharm</w:t>
      </w:r>
      <w:r w:rsidR="00DF3DAC">
        <w:t>.</w:t>
      </w:r>
      <w:r w:rsidR="00FB28AF" w:rsidRPr="00FB28AF">
        <w:t xml:space="preserve"> Sci</w:t>
      </w:r>
      <w:r w:rsidR="00DF3DAC">
        <w:t>.</w:t>
      </w:r>
      <w:r w:rsidR="00BB6E2A">
        <w:t>,</w:t>
      </w:r>
      <w:r w:rsidR="00DF3DAC">
        <w:t xml:space="preserve"> </w:t>
      </w:r>
      <w:r w:rsidR="00FB28AF" w:rsidRPr="00FB28AF">
        <w:t>94:1396-1417</w:t>
      </w:r>
      <w:r w:rsidR="00DF3DAC">
        <w:t>, 2005</w:t>
      </w:r>
      <w:r w:rsidR="00FB28AF" w:rsidRPr="00FB28AF">
        <w:t xml:space="preserve"> </w:t>
      </w:r>
    </w:p>
    <w:p w:rsidR="00E61F41" w:rsidRPr="00FB28AF" w:rsidRDefault="00E61F41" w:rsidP="00E61F41">
      <w:pPr>
        <w:autoSpaceDE w:val="0"/>
        <w:autoSpaceDN w:val="0"/>
        <w:adjustRightInd w:val="0"/>
        <w:spacing w:after="0" w:line="480" w:lineRule="auto"/>
        <w:jc w:val="both"/>
        <w:rPr>
          <w:rFonts w:ascii="Times New Roman" w:hAnsi="Times New Roman" w:cs="Times New Roman"/>
          <w:b/>
          <w:sz w:val="24"/>
          <w:szCs w:val="24"/>
        </w:rPr>
      </w:pPr>
      <w:r w:rsidRPr="00FB28AF">
        <w:rPr>
          <w:rFonts w:ascii="Times New Roman" w:hAnsi="Times New Roman" w:cs="Times New Roman"/>
          <w:b/>
          <w:sz w:val="24"/>
          <w:szCs w:val="24"/>
        </w:rPr>
        <w:br w:type="page"/>
      </w: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r w:rsidRPr="00B13F50">
        <w:rPr>
          <w:rFonts w:ascii="Times New Roman" w:hAnsi="Times New Roman" w:cs="Times New Roman"/>
          <w:b/>
          <w:noProof/>
          <w:sz w:val="24"/>
          <w:szCs w:val="24"/>
        </w:rPr>
        <w:lastRenderedPageBreak/>
        <w:drawing>
          <wp:inline distT="0" distB="0" distL="0" distR="0">
            <wp:extent cx="5943600" cy="2835926"/>
            <wp:effectExtent l="19050" t="19050" r="19050" b="21574"/>
            <wp:docPr id="1" name="Picture 1" descr="C:\Users\nrups\Desktop\Manu-2\Fig-1 355X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ups\Desktop\Manu-2\Fig-1 355XRD.jpg"/>
                    <pic:cNvPicPr>
                      <a:picLocks noChangeAspect="1" noChangeArrowheads="1"/>
                    </pic:cNvPicPr>
                  </pic:nvPicPr>
                  <pic:blipFill>
                    <a:blip r:embed="rId8" cstate="print"/>
                    <a:srcRect/>
                    <a:stretch>
                      <a:fillRect/>
                    </a:stretch>
                  </pic:blipFill>
                  <pic:spPr bwMode="auto">
                    <a:xfrm>
                      <a:off x="0" y="0"/>
                      <a:ext cx="5943600" cy="2835926"/>
                    </a:xfrm>
                    <a:prstGeom prst="rect">
                      <a:avLst/>
                    </a:prstGeom>
                    <a:noFill/>
                    <a:ln w="19050">
                      <a:solidFill>
                        <a:schemeClr val="tx1"/>
                      </a:solidFill>
                      <a:miter lim="800000"/>
                      <a:headEnd/>
                      <a:tailEnd/>
                    </a:ln>
                  </pic:spPr>
                </pic:pic>
              </a:graphicData>
            </a:graphic>
          </wp:inline>
        </w:drawing>
      </w: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b/>
          <w:sz w:val="24"/>
          <w:szCs w:val="24"/>
        </w:rPr>
        <w:t>Figure 1</w:t>
      </w:r>
      <w:r w:rsidRPr="00B13F50">
        <w:rPr>
          <w:rFonts w:ascii="Times New Roman" w:hAnsi="Times New Roman" w:cs="Times New Roman"/>
          <w:sz w:val="24"/>
          <w:szCs w:val="24"/>
        </w:rPr>
        <w:t xml:space="preserve"> Powder-XRD patterns of solid system containing (A) Captex 355:Acconon C-50 and (B) Captex 355:Gelucire 50/13. Key: (a) 100% Stearoyl po</w:t>
      </w:r>
      <w:r w:rsidR="00BB6E2A">
        <w:rPr>
          <w:rFonts w:ascii="Times New Roman" w:hAnsi="Times New Roman" w:cs="Times New Roman"/>
          <w:sz w:val="24"/>
          <w:szCs w:val="24"/>
        </w:rPr>
        <w:t>lyoxylglyceride</w:t>
      </w:r>
      <w:r w:rsidR="009D055D">
        <w:rPr>
          <w:rFonts w:ascii="Times New Roman" w:hAnsi="Times New Roman" w:cs="Times New Roman"/>
          <w:sz w:val="24"/>
          <w:szCs w:val="24"/>
        </w:rPr>
        <w:t>;</w:t>
      </w:r>
      <w:r w:rsidR="00BB6E2A">
        <w:rPr>
          <w:rFonts w:ascii="Times New Roman" w:hAnsi="Times New Roman" w:cs="Times New Roman"/>
          <w:sz w:val="24"/>
          <w:szCs w:val="24"/>
        </w:rPr>
        <w:t xml:space="preserve"> (b) Captex 355/</w:t>
      </w:r>
      <w:r w:rsidRPr="00B13F50">
        <w:rPr>
          <w:rFonts w:ascii="Times New Roman" w:hAnsi="Times New Roman" w:cs="Times New Roman"/>
          <w:sz w:val="24"/>
          <w:szCs w:val="24"/>
        </w:rPr>
        <w:t xml:space="preserve"> stearoyl polyoxylglyceride</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3:7</w:t>
      </w:r>
      <w:r w:rsidR="009D055D">
        <w:rPr>
          <w:rFonts w:ascii="Times New Roman" w:hAnsi="Times New Roman" w:cs="Times New Roman"/>
          <w:sz w:val="24"/>
          <w:szCs w:val="24"/>
        </w:rPr>
        <w:t>;</w:t>
      </w:r>
      <w:r w:rsidR="00BB6E2A">
        <w:rPr>
          <w:rFonts w:ascii="Times New Roman" w:hAnsi="Times New Roman" w:cs="Times New Roman"/>
          <w:sz w:val="24"/>
          <w:szCs w:val="24"/>
        </w:rPr>
        <w:t xml:space="preserve"> (c) Captex 355/</w:t>
      </w:r>
      <w:r w:rsidRPr="00B13F50">
        <w:rPr>
          <w:rFonts w:ascii="Times New Roman" w:hAnsi="Times New Roman" w:cs="Times New Roman"/>
          <w:sz w:val="24"/>
          <w:szCs w:val="24"/>
        </w:rPr>
        <w:t>stearoyl polyoxylglyceride</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4:6</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(d) Capte</w:t>
      </w:r>
      <w:r w:rsidR="00BB6E2A">
        <w:rPr>
          <w:rFonts w:ascii="Times New Roman" w:hAnsi="Times New Roman" w:cs="Times New Roman"/>
          <w:sz w:val="24"/>
          <w:szCs w:val="24"/>
        </w:rPr>
        <w:t>x 355/</w:t>
      </w:r>
      <w:r w:rsidRPr="00B13F50">
        <w:rPr>
          <w:rFonts w:ascii="Times New Roman" w:hAnsi="Times New Roman" w:cs="Times New Roman"/>
          <w:sz w:val="24"/>
          <w:szCs w:val="24"/>
        </w:rPr>
        <w:t xml:space="preserve"> stearoyl polyoxylglyceride</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1:1</w:t>
      </w:r>
      <w:r w:rsidR="009D055D">
        <w:rPr>
          <w:rFonts w:ascii="Times New Roman" w:hAnsi="Times New Roman" w:cs="Times New Roman"/>
          <w:sz w:val="24"/>
          <w:szCs w:val="24"/>
        </w:rPr>
        <w:t>;</w:t>
      </w:r>
      <w:r w:rsidR="00BB6E2A">
        <w:rPr>
          <w:rFonts w:ascii="Times New Roman" w:hAnsi="Times New Roman" w:cs="Times New Roman"/>
          <w:sz w:val="24"/>
          <w:szCs w:val="24"/>
        </w:rPr>
        <w:t xml:space="preserve"> (e) Captex 355/</w:t>
      </w:r>
      <w:r w:rsidRPr="00B13F50">
        <w:rPr>
          <w:rFonts w:ascii="Times New Roman" w:hAnsi="Times New Roman" w:cs="Times New Roman"/>
          <w:sz w:val="24"/>
          <w:szCs w:val="24"/>
        </w:rPr>
        <w:t>stearoyl polyoxylglyceride</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6:4</w:t>
      </w:r>
      <w:r w:rsidR="009D055D">
        <w:rPr>
          <w:rFonts w:ascii="Times New Roman" w:hAnsi="Times New Roman" w:cs="Times New Roman"/>
          <w:sz w:val="24"/>
          <w:szCs w:val="24"/>
        </w:rPr>
        <w:t>;</w:t>
      </w:r>
      <w:r w:rsidR="00BB6E2A">
        <w:rPr>
          <w:rFonts w:ascii="Times New Roman" w:hAnsi="Times New Roman" w:cs="Times New Roman"/>
          <w:sz w:val="24"/>
          <w:szCs w:val="24"/>
        </w:rPr>
        <w:t xml:space="preserve"> and</w:t>
      </w:r>
      <w:r w:rsidRPr="00B13F50">
        <w:rPr>
          <w:rFonts w:ascii="Times New Roman" w:hAnsi="Times New Roman" w:cs="Times New Roman"/>
          <w:sz w:val="24"/>
          <w:szCs w:val="24"/>
        </w:rPr>
        <w:t xml:space="preserve"> (f) Captex 355: stearoyl polyoxylglyceride 7:3</w:t>
      </w:r>
    </w:p>
    <w:p w:rsidR="00E61F41" w:rsidRPr="00B13F50" w:rsidRDefault="00E61F41" w:rsidP="00E61F41">
      <w:pPr>
        <w:rPr>
          <w:rFonts w:ascii="Times New Roman" w:hAnsi="Times New Roman" w:cs="Times New Roman"/>
          <w:sz w:val="24"/>
          <w:szCs w:val="24"/>
        </w:rPr>
      </w:pPr>
      <w:r w:rsidRPr="00B13F50">
        <w:rPr>
          <w:rFonts w:ascii="Times New Roman" w:hAnsi="Times New Roman" w:cs="Times New Roman"/>
          <w:sz w:val="24"/>
          <w:szCs w:val="24"/>
        </w:rPr>
        <w:br w:type="page"/>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5025" cy="2743200"/>
            <wp:effectExtent l="19050" t="19050" r="285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15025" cy="2743200"/>
                    </a:xfrm>
                    <a:prstGeom prst="rect">
                      <a:avLst/>
                    </a:prstGeom>
                    <a:noFill/>
                    <a:ln w="12700">
                      <a:solidFill>
                        <a:schemeClr val="tx1"/>
                      </a:solidFill>
                      <a:miter lim="800000"/>
                      <a:headEnd/>
                      <a:tailEnd/>
                    </a:ln>
                  </pic:spPr>
                </pic:pic>
              </a:graphicData>
            </a:graphic>
          </wp:inline>
        </w:drawing>
      </w: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b/>
          <w:sz w:val="24"/>
          <w:szCs w:val="24"/>
        </w:rPr>
        <w:t xml:space="preserve">Figure 2 </w:t>
      </w:r>
      <w:r>
        <w:rPr>
          <w:rFonts w:ascii="Times New Roman" w:hAnsi="Times New Roman" w:cs="Times New Roman"/>
          <w:sz w:val="24"/>
          <w:szCs w:val="24"/>
        </w:rPr>
        <w:t>DSC scans</w:t>
      </w:r>
      <w:r w:rsidRPr="00B13F50">
        <w:rPr>
          <w:rFonts w:ascii="Times New Roman" w:hAnsi="Times New Roman" w:cs="Times New Roman"/>
          <w:sz w:val="24"/>
          <w:szCs w:val="24"/>
        </w:rPr>
        <w:t xml:space="preserve"> of solid system containing (A)</w:t>
      </w:r>
      <w:r>
        <w:rPr>
          <w:rFonts w:ascii="Times New Roman" w:hAnsi="Times New Roman" w:cs="Times New Roman"/>
          <w:sz w:val="24"/>
          <w:szCs w:val="24"/>
        </w:rPr>
        <w:t xml:space="preserve"> Captex 355/</w:t>
      </w:r>
      <w:r w:rsidRPr="00B13F50">
        <w:rPr>
          <w:rFonts w:ascii="Times New Roman" w:hAnsi="Times New Roman" w:cs="Times New Roman"/>
          <w:sz w:val="24"/>
          <w:szCs w:val="24"/>
        </w:rPr>
        <w:t>Acconon C-50 and (B) Captex 355</w:t>
      </w:r>
      <w:r>
        <w:rPr>
          <w:rFonts w:ascii="Times New Roman" w:hAnsi="Times New Roman" w:cs="Times New Roman"/>
          <w:sz w:val="24"/>
          <w:szCs w:val="24"/>
        </w:rPr>
        <w:t>/</w:t>
      </w:r>
      <w:r w:rsidRPr="00B13F50">
        <w:rPr>
          <w:rFonts w:ascii="Times New Roman" w:hAnsi="Times New Roman" w:cs="Times New Roman"/>
          <w:sz w:val="24"/>
          <w:szCs w:val="24"/>
        </w:rPr>
        <w:t xml:space="preserve">Gelucire 50/13.   Key: (a) </w:t>
      </w:r>
      <w:r>
        <w:rPr>
          <w:rFonts w:ascii="Times New Roman" w:hAnsi="Times New Roman" w:cs="Times New Roman"/>
          <w:sz w:val="24"/>
          <w:szCs w:val="24"/>
        </w:rPr>
        <w:t>Neat s</w:t>
      </w:r>
      <w:r w:rsidRPr="00B13F50">
        <w:rPr>
          <w:rFonts w:ascii="Times New Roman" w:hAnsi="Times New Roman" w:cs="Times New Roman"/>
          <w:sz w:val="24"/>
          <w:szCs w:val="24"/>
        </w:rPr>
        <w:t>tearoyl polyoxylglyceride</w:t>
      </w:r>
      <w:r>
        <w:rPr>
          <w:rFonts w:ascii="Times New Roman" w:hAnsi="Times New Roman" w:cs="Times New Roman"/>
          <w:sz w:val="24"/>
          <w:szCs w:val="24"/>
        </w:rPr>
        <w:t xml:space="preserve"> (Acconon C-50 or Gelucire 50/13)</w:t>
      </w:r>
      <w:r w:rsidR="009D055D">
        <w:rPr>
          <w:rFonts w:ascii="Times New Roman" w:hAnsi="Times New Roman" w:cs="Times New Roman"/>
          <w:sz w:val="24"/>
          <w:szCs w:val="24"/>
        </w:rPr>
        <w:t>;</w:t>
      </w:r>
      <w:r>
        <w:rPr>
          <w:rFonts w:ascii="Times New Roman" w:hAnsi="Times New Roman" w:cs="Times New Roman"/>
          <w:sz w:val="24"/>
          <w:szCs w:val="24"/>
        </w:rPr>
        <w:t xml:space="preserve"> </w:t>
      </w:r>
      <w:r w:rsidRPr="00B13F50">
        <w:rPr>
          <w:rFonts w:ascii="Times New Roman" w:hAnsi="Times New Roman" w:cs="Times New Roman"/>
          <w:sz w:val="24"/>
          <w:szCs w:val="24"/>
        </w:rPr>
        <w:t xml:space="preserve">(b) </w:t>
      </w:r>
      <w:r>
        <w:rPr>
          <w:rFonts w:ascii="Times New Roman" w:hAnsi="Times New Roman" w:cs="Times New Roman"/>
          <w:sz w:val="24"/>
          <w:szCs w:val="24"/>
        </w:rPr>
        <w:t xml:space="preserve">Captex 355/stearoyl polyoxyl glyceride, </w:t>
      </w:r>
      <w:r w:rsidRPr="00B13F50">
        <w:rPr>
          <w:rFonts w:ascii="Times New Roman" w:hAnsi="Times New Roman" w:cs="Times New Roman"/>
          <w:sz w:val="24"/>
          <w:szCs w:val="24"/>
        </w:rPr>
        <w:t>3:7</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(c) </w:t>
      </w:r>
      <w:r>
        <w:rPr>
          <w:rFonts w:ascii="Times New Roman" w:hAnsi="Times New Roman" w:cs="Times New Roman"/>
          <w:sz w:val="24"/>
          <w:szCs w:val="24"/>
        </w:rPr>
        <w:t xml:space="preserve">Captex 355/stearoyl polyoxyl glyceride, </w:t>
      </w:r>
      <w:r w:rsidRPr="00B13F50">
        <w:rPr>
          <w:rFonts w:ascii="Times New Roman" w:hAnsi="Times New Roman" w:cs="Times New Roman"/>
          <w:sz w:val="24"/>
          <w:szCs w:val="24"/>
        </w:rPr>
        <w:t>4:6</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(d) </w:t>
      </w:r>
      <w:r>
        <w:rPr>
          <w:rFonts w:ascii="Times New Roman" w:hAnsi="Times New Roman" w:cs="Times New Roman"/>
          <w:sz w:val="24"/>
          <w:szCs w:val="24"/>
        </w:rPr>
        <w:t xml:space="preserve">Captex 355/stearoyl polyoxyl glyceride, </w:t>
      </w:r>
      <w:r w:rsidRPr="00B13F50">
        <w:rPr>
          <w:rFonts w:ascii="Times New Roman" w:hAnsi="Times New Roman" w:cs="Times New Roman"/>
          <w:sz w:val="24"/>
          <w:szCs w:val="24"/>
        </w:rPr>
        <w:t>1:1</w:t>
      </w:r>
      <w:r w:rsidR="009D055D">
        <w:rPr>
          <w:rFonts w:ascii="Times New Roman" w:hAnsi="Times New Roman" w:cs="Times New Roman"/>
          <w:sz w:val="24"/>
          <w:szCs w:val="24"/>
        </w:rPr>
        <w:t>;</w:t>
      </w:r>
      <w:r w:rsidRPr="00B13F50">
        <w:rPr>
          <w:rFonts w:ascii="Times New Roman" w:hAnsi="Times New Roman" w:cs="Times New Roman"/>
          <w:sz w:val="24"/>
          <w:szCs w:val="24"/>
        </w:rPr>
        <w:t xml:space="preserve"> (e) </w:t>
      </w:r>
      <w:r>
        <w:rPr>
          <w:rFonts w:ascii="Times New Roman" w:hAnsi="Times New Roman" w:cs="Times New Roman"/>
          <w:sz w:val="24"/>
          <w:szCs w:val="24"/>
        </w:rPr>
        <w:t xml:space="preserve">Captex 355/stearoyl polyoxyl glyceride, </w:t>
      </w:r>
      <w:r w:rsidRPr="00B13F50">
        <w:rPr>
          <w:rFonts w:ascii="Times New Roman" w:hAnsi="Times New Roman" w:cs="Times New Roman"/>
          <w:sz w:val="24"/>
          <w:szCs w:val="24"/>
        </w:rPr>
        <w:t>6:4</w:t>
      </w:r>
      <w:r w:rsidR="009D055D">
        <w:rPr>
          <w:rFonts w:ascii="Times New Roman" w:hAnsi="Times New Roman" w:cs="Times New Roman"/>
          <w:sz w:val="24"/>
          <w:szCs w:val="24"/>
        </w:rPr>
        <w:t>; and</w:t>
      </w:r>
      <w:r w:rsidRPr="00B13F50">
        <w:rPr>
          <w:rFonts w:ascii="Times New Roman" w:hAnsi="Times New Roman" w:cs="Times New Roman"/>
          <w:sz w:val="24"/>
          <w:szCs w:val="24"/>
        </w:rPr>
        <w:t xml:space="preserve"> (f) </w:t>
      </w:r>
      <w:r>
        <w:rPr>
          <w:rFonts w:ascii="Times New Roman" w:hAnsi="Times New Roman" w:cs="Times New Roman"/>
          <w:sz w:val="24"/>
          <w:szCs w:val="24"/>
        </w:rPr>
        <w:t xml:space="preserve">Captex 355/stearoyl polyoxyl glyceride, </w:t>
      </w:r>
      <w:r w:rsidRPr="00B13F50">
        <w:rPr>
          <w:rFonts w:ascii="Times New Roman" w:hAnsi="Times New Roman" w:cs="Times New Roman"/>
          <w:sz w:val="24"/>
          <w:szCs w:val="24"/>
        </w:rPr>
        <w:t>7:3</w:t>
      </w:r>
      <w:r>
        <w:rPr>
          <w:rFonts w:ascii="Times New Roman" w:hAnsi="Times New Roman" w:cs="Times New Roman"/>
          <w:sz w:val="24"/>
          <w:szCs w:val="24"/>
        </w:rPr>
        <w:t>.</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E61F41" w:rsidP="00E61F41">
      <w:pPr>
        <w:spacing w:line="480" w:lineRule="auto"/>
        <w:jc w:val="both"/>
        <w:rPr>
          <w:rFonts w:ascii="Times New Roman" w:hAnsi="Times New Roman" w:cs="Times New Roman"/>
          <w:sz w:val="24"/>
          <w:szCs w:val="24"/>
        </w:rPr>
      </w:pPr>
      <w:r w:rsidRPr="00740504">
        <w:rPr>
          <w:rFonts w:ascii="Times New Roman" w:hAnsi="Times New Roman" w:cs="Times New Roman"/>
          <w:noProof/>
          <w:sz w:val="24"/>
          <w:szCs w:val="24"/>
        </w:rPr>
        <w:lastRenderedPageBreak/>
        <w:drawing>
          <wp:inline distT="0" distB="0" distL="0" distR="0">
            <wp:extent cx="5484603" cy="4132053"/>
            <wp:effectExtent l="19050" t="19050" r="20847" b="20847"/>
            <wp:docPr id="17" name="Picture 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0" cstate="print"/>
                    <a:srcRect/>
                    <a:stretch>
                      <a:fillRect/>
                    </a:stretch>
                  </pic:blipFill>
                  <pic:spPr bwMode="auto">
                    <a:xfrm>
                      <a:off x="0" y="0"/>
                      <a:ext cx="5486400" cy="4133407"/>
                    </a:xfrm>
                    <a:prstGeom prst="rect">
                      <a:avLst/>
                    </a:prstGeom>
                    <a:noFill/>
                    <a:ln w="12700">
                      <a:solidFill>
                        <a:schemeClr val="tx1"/>
                      </a:solidFill>
                      <a:miter lim="800000"/>
                      <a:headEnd/>
                      <a:tailEnd/>
                    </a:ln>
                  </pic:spPr>
                </pic:pic>
              </a:graphicData>
            </a:graphic>
          </wp:inline>
        </w:drawing>
      </w:r>
    </w:p>
    <w:p w:rsidR="00E61F41"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b/>
          <w:sz w:val="24"/>
          <w:szCs w:val="24"/>
        </w:rPr>
        <w:t xml:space="preserve">Figure 3 </w:t>
      </w:r>
      <w:r>
        <w:rPr>
          <w:rFonts w:ascii="Times New Roman" w:hAnsi="Times New Roman" w:cs="Times New Roman"/>
          <w:sz w:val="24"/>
          <w:szCs w:val="24"/>
        </w:rPr>
        <w:t>Photom</w:t>
      </w:r>
      <w:r w:rsidRPr="00B13F50">
        <w:rPr>
          <w:rFonts w:ascii="Times New Roman" w:hAnsi="Times New Roman" w:cs="Times New Roman"/>
          <w:sz w:val="24"/>
          <w:szCs w:val="24"/>
        </w:rPr>
        <w:t xml:space="preserve">icrographs of solid </w:t>
      </w:r>
      <w:r>
        <w:rPr>
          <w:rFonts w:ascii="Times New Roman" w:hAnsi="Times New Roman" w:cs="Times New Roman"/>
          <w:sz w:val="24"/>
          <w:szCs w:val="24"/>
        </w:rPr>
        <w:t xml:space="preserve">systems incorporating Captex 355 in </w:t>
      </w:r>
      <w:r w:rsidRPr="00B13F50">
        <w:rPr>
          <w:rFonts w:ascii="Times New Roman" w:hAnsi="Times New Roman" w:cs="Times New Roman"/>
          <w:sz w:val="24"/>
          <w:szCs w:val="24"/>
        </w:rPr>
        <w:t>stearoyl polyoxylglycerides</w:t>
      </w:r>
      <w:r>
        <w:rPr>
          <w:rFonts w:ascii="Times New Roman" w:hAnsi="Times New Roman" w:cs="Times New Roman"/>
          <w:sz w:val="24"/>
          <w:szCs w:val="24"/>
        </w:rPr>
        <w:t xml:space="preserve"> (Acconon C-50)</w:t>
      </w:r>
      <w:r w:rsidRPr="00B13F50">
        <w:rPr>
          <w:rFonts w:ascii="Times New Roman" w:hAnsi="Times New Roman" w:cs="Times New Roman"/>
          <w:sz w:val="24"/>
          <w:szCs w:val="24"/>
        </w:rPr>
        <w:t xml:space="preserve">. Key: (A) </w:t>
      </w:r>
      <w:r>
        <w:rPr>
          <w:rFonts w:ascii="Times New Roman" w:hAnsi="Times New Roman" w:cs="Times New Roman"/>
          <w:sz w:val="24"/>
          <w:szCs w:val="24"/>
        </w:rPr>
        <w:t>Photomicrograph of neat</w:t>
      </w:r>
      <w:r w:rsidRPr="00B13F50">
        <w:rPr>
          <w:rFonts w:ascii="Times New Roman" w:hAnsi="Times New Roman" w:cs="Times New Roman"/>
          <w:sz w:val="24"/>
          <w:szCs w:val="24"/>
        </w:rPr>
        <w:t xml:space="preserve"> stearoyl polyoxylglycerides</w:t>
      </w:r>
      <w:r>
        <w:rPr>
          <w:rFonts w:ascii="Times New Roman" w:hAnsi="Times New Roman" w:cs="Times New Roman"/>
          <w:sz w:val="24"/>
          <w:szCs w:val="24"/>
        </w:rPr>
        <w:t xml:space="preserve"> </w:t>
      </w:r>
      <w:r w:rsidRPr="00B13F50">
        <w:rPr>
          <w:rFonts w:ascii="Times New Roman" w:hAnsi="Times New Roman" w:cs="Times New Roman"/>
          <w:sz w:val="24"/>
          <w:szCs w:val="24"/>
        </w:rPr>
        <w:t>obtained from cro</w:t>
      </w:r>
      <w:r>
        <w:rPr>
          <w:rFonts w:ascii="Times New Roman" w:hAnsi="Times New Roman" w:cs="Times New Roman"/>
          <w:sz w:val="24"/>
          <w:szCs w:val="24"/>
        </w:rPr>
        <w:t>ss-polarized optical microscope; (B) photo</w:t>
      </w:r>
      <w:r w:rsidRPr="00B13F50">
        <w:rPr>
          <w:rFonts w:ascii="Times New Roman" w:hAnsi="Times New Roman" w:cs="Times New Roman"/>
          <w:sz w:val="24"/>
          <w:szCs w:val="24"/>
        </w:rPr>
        <w:t xml:space="preserve">micrograph </w:t>
      </w:r>
      <w:r>
        <w:rPr>
          <w:rFonts w:ascii="Times New Roman" w:hAnsi="Times New Roman" w:cs="Times New Roman"/>
          <w:sz w:val="24"/>
          <w:szCs w:val="24"/>
        </w:rPr>
        <w:t xml:space="preserve">under cross-polarized optical microscope </w:t>
      </w:r>
      <w:r w:rsidRPr="00B13F50">
        <w:rPr>
          <w:rFonts w:ascii="Times New Roman" w:hAnsi="Times New Roman" w:cs="Times New Roman"/>
          <w:sz w:val="24"/>
          <w:szCs w:val="24"/>
        </w:rPr>
        <w:t xml:space="preserve">of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/s</w:t>
      </w:r>
      <w:r w:rsidRPr="00B13F50">
        <w:rPr>
          <w:rFonts w:ascii="Times New Roman" w:hAnsi="Times New Roman" w:cs="Times New Roman"/>
          <w:sz w:val="24"/>
          <w:szCs w:val="24"/>
        </w:rPr>
        <w:t xml:space="preserve">tearoyl polyoxylglyceride </w:t>
      </w:r>
      <w:r>
        <w:rPr>
          <w:rFonts w:ascii="Times New Roman" w:hAnsi="Times New Roman" w:cs="Times New Roman"/>
          <w:sz w:val="24"/>
          <w:szCs w:val="24"/>
        </w:rPr>
        <w:t xml:space="preserve">cooled to room temperature by rapid </w:t>
      </w:r>
      <w:r w:rsidRPr="00B13F50">
        <w:rPr>
          <w:rFonts w:ascii="Times New Roman" w:hAnsi="Times New Roman" w:cs="Times New Roman"/>
          <w:sz w:val="24"/>
          <w:szCs w:val="24"/>
        </w:rPr>
        <w:t>cooling</w:t>
      </w:r>
      <w:r>
        <w:rPr>
          <w:rFonts w:ascii="Times New Roman" w:hAnsi="Times New Roman" w:cs="Times New Roman"/>
          <w:sz w:val="24"/>
          <w:szCs w:val="24"/>
        </w:rPr>
        <w:t>; (C) photo</w:t>
      </w:r>
      <w:r w:rsidRPr="00B13F50">
        <w:rPr>
          <w:rFonts w:ascii="Times New Roman" w:hAnsi="Times New Roman" w:cs="Times New Roman"/>
          <w:sz w:val="24"/>
          <w:szCs w:val="24"/>
        </w:rPr>
        <w:t xml:space="preserve">micrograph </w:t>
      </w:r>
      <w:r>
        <w:rPr>
          <w:rFonts w:ascii="Times New Roman" w:hAnsi="Times New Roman" w:cs="Times New Roman"/>
          <w:sz w:val="24"/>
          <w:szCs w:val="24"/>
        </w:rPr>
        <w:t xml:space="preserve">under cross-polarized optical microscope </w:t>
      </w:r>
      <w:r w:rsidRPr="00B13F50">
        <w:rPr>
          <w:rFonts w:ascii="Times New Roman" w:hAnsi="Times New Roman" w:cs="Times New Roman"/>
          <w:sz w:val="24"/>
          <w:szCs w:val="24"/>
        </w:rPr>
        <w:t xml:space="preserve">of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/s</w:t>
      </w:r>
      <w:r w:rsidRPr="00B13F50">
        <w:rPr>
          <w:rFonts w:ascii="Times New Roman" w:hAnsi="Times New Roman" w:cs="Times New Roman"/>
          <w:sz w:val="24"/>
          <w:szCs w:val="24"/>
        </w:rPr>
        <w:t xml:space="preserve">tearoyl polyoxylglyceride </w:t>
      </w:r>
      <w:r>
        <w:rPr>
          <w:rFonts w:ascii="Times New Roman" w:hAnsi="Times New Roman" w:cs="Times New Roman"/>
          <w:sz w:val="24"/>
          <w:szCs w:val="24"/>
        </w:rPr>
        <w:t xml:space="preserve">cooled to room </w:t>
      </w:r>
      <w:r w:rsidRPr="00B13F50">
        <w:rPr>
          <w:rFonts w:ascii="Times New Roman" w:hAnsi="Times New Roman" w:cs="Times New Roman"/>
          <w:sz w:val="24"/>
          <w:szCs w:val="24"/>
        </w:rPr>
        <w:t xml:space="preserve">temperature </w:t>
      </w:r>
      <w:r>
        <w:rPr>
          <w:rFonts w:ascii="Times New Roman" w:hAnsi="Times New Roman" w:cs="Times New Roman"/>
          <w:sz w:val="24"/>
          <w:szCs w:val="24"/>
        </w:rPr>
        <w:t>at controlled rate of 0.1</w:t>
      </w:r>
      <w:r w:rsidRPr="00840508">
        <w:rPr>
          <w:rFonts w:ascii="Times New Roman" w:hAnsi="Times New Roman" w:cs="Times New Roman"/>
          <w:sz w:val="24"/>
          <w:szCs w:val="24"/>
        </w:rPr>
        <w:t xml:space="preserve"> </w:t>
      </w:r>
      <w:r w:rsidRPr="00B13F50">
        <w:rPr>
          <w:rFonts w:ascii="Times New Roman" w:hAnsi="Times New Roman" w:cs="Times New Roman"/>
          <w:sz w:val="24"/>
          <w:szCs w:val="24"/>
        </w:rPr>
        <w:t>ºC</w:t>
      </w:r>
      <w:r>
        <w:rPr>
          <w:rFonts w:ascii="Times New Roman" w:hAnsi="Times New Roman" w:cs="Times New Roman"/>
          <w:sz w:val="24"/>
          <w:szCs w:val="24"/>
        </w:rPr>
        <w:t>/min</w:t>
      </w:r>
      <w:r w:rsidRPr="00B13F50">
        <w:rPr>
          <w:rFonts w:ascii="Times New Roman" w:hAnsi="Times New Roman" w:cs="Times New Roman"/>
          <w:sz w:val="24"/>
          <w:szCs w:val="24"/>
        </w:rPr>
        <w:t xml:space="preserve"> over period of 4 hours</w:t>
      </w:r>
      <w:r>
        <w:rPr>
          <w:rFonts w:ascii="Times New Roman" w:hAnsi="Times New Roman" w:cs="Times New Roman"/>
          <w:sz w:val="24"/>
          <w:szCs w:val="24"/>
        </w:rPr>
        <w:t xml:space="preserve">; </w:t>
      </w:r>
      <w:r w:rsidRPr="00B13F50">
        <w:rPr>
          <w:rFonts w:ascii="Times New Roman" w:hAnsi="Times New Roman" w:cs="Times New Roman"/>
          <w:sz w:val="24"/>
          <w:szCs w:val="24"/>
        </w:rPr>
        <w:t xml:space="preserve">(D) </w:t>
      </w:r>
      <w:r>
        <w:rPr>
          <w:rFonts w:ascii="Times New Roman" w:hAnsi="Times New Roman" w:cs="Times New Roman"/>
          <w:sz w:val="24"/>
          <w:szCs w:val="24"/>
        </w:rPr>
        <w:t>confocal fluorescence photo</w:t>
      </w:r>
      <w:r w:rsidRPr="00B13F50">
        <w:rPr>
          <w:rFonts w:ascii="Times New Roman" w:hAnsi="Times New Roman" w:cs="Times New Roman"/>
          <w:sz w:val="24"/>
          <w:szCs w:val="24"/>
        </w:rPr>
        <w:t xml:space="preserve">micrograph of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/s</w:t>
      </w:r>
      <w:r w:rsidRPr="00B13F50">
        <w:rPr>
          <w:rFonts w:ascii="Times New Roman" w:hAnsi="Times New Roman" w:cs="Times New Roman"/>
          <w:sz w:val="24"/>
          <w:szCs w:val="24"/>
        </w:rPr>
        <w:t xml:space="preserve">tearoyl polyoxylglyceride </w:t>
      </w:r>
      <w:r>
        <w:rPr>
          <w:rFonts w:ascii="Times New Roman" w:hAnsi="Times New Roman" w:cs="Times New Roman"/>
          <w:sz w:val="24"/>
          <w:szCs w:val="24"/>
        </w:rPr>
        <w:t xml:space="preserve">(1:1) cooled to room </w:t>
      </w:r>
      <w:r w:rsidRPr="00B13F50">
        <w:rPr>
          <w:rFonts w:ascii="Times New Roman" w:hAnsi="Times New Roman" w:cs="Times New Roman"/>
          <w:sz w:val="24"/>
          <w:szCs w:val="24"/>
        </w:rPr>
        <w:t xml:space="preserve">temperature </w:t>
      </w:r>
      <w:r>
        <w:rPr>
          <w:rFonts w:ascii="Times New Roman" w:hAnsi="Times New Roman" w:cs="Times New Roman"/>
          <w:sz w:val="24"/>
          <w:szCs w:val="24"/>
        </w:rPr>
        <w:t>at controlled rate of 0.1</w:t>
      </w:r>
      <w:r w:rsidRPr="00840508">
        <w:rPr>
          <w:rFonts w:ascii="Times New Roman" w:hAnsi="Times New Roman" w:cs="Times New Roman"/>
          <w:sz w:val="24"/>
          <w:szCs w:val="24"/>
        </w:rPr>
        <w:t xml:space="preserve"> </w:t>
      </w:r>
      <w:r w:rsidRPr="00B13F50">
        <w:rPr>
          <w:rFonts w:ascii="Times New Roman" w:hAnsi="Times New Roman" w:cs="Times New Roman"/>
          <w:sz w:val="24"/>
          <w:szCs w:val="24"/>
        </w:rPr>
        <w:t>ºC</w:t>
      </w:r>
      <w:r>
        <w:rPr>
          <w:rFonts w:ascii="Times New Roman" w:hAnsi="Times New Roman" w:cs="Times New Roman"/>
          <w:sz w:val="24"/>
          <w:szCs w:val="24"/>
        </w:rPr>
        <w:t>/min</w:t>
      </w:r>
      <w:r w:rsidRPr="00B13F50">
        <w:rPr>
          <w:rFonts w:ascii="Times New Roman" w:hAnsi="Times New Roman" w:cs="Times New Roman"/>
          <w:sz w:val="24"/>
          <w:szCs w:val="24"/>
        </w:rPr>
        <w:t xml:space="preserve"> over period of 4 hours</w:t>
      </w:r>
      <w:r>
        <w:rPr>
          <w:rFonts w:ascii="Times New Roman" w:hAnsi="Times New Roman" w:cs="Times New Roman"/>
          <w:sz w:val="24"/>
          <w:szCs w:val="24"/>
        </w:rPr>
        <w:t xml:space="preserve">. </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4067EA" w:rsidP="00E61F4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294890"/>
            <wp:effectExtent l="19050" t="19050" r="1905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294890"/>
                    </a:xfrm>
                    <a:prstGeom prst="rect">
                      <a:avLst/>
                    </a:prstGeom>
                    <a:noFill/>
                    <a:ln w="12700">
                      <a:solidFill>
                        <a:schemeClr val="tx1"/>
                      </a:solidFill>
                      <a:miter lim="800000"/>
                      <a:headEnd/>
                      <a:tailEnd/>
                    </a:ln>
                  </pic:spPr>
                </pic:pic>
              </a:graphicData>
            </a:graphic>
          </wp:inline>
        </w:drawing>
      </w:r>
    </w:p>
    <w:p w:rsidR="00E61F41" w:rsidRPr="00B13F50" w:rsidRDefault="00E61F41" w:rsidP="00E61F41">
      <w:pPr>
        <w:spacing w:line="480" w:lineRule="auto"/>
        <w:jc w:val="both"/>
        <w:rPr>
          <w:rFonts w:ascii="Times New Roman" w:hAnsi="Times New Roman" w:cs="Times New Roman"/>
          <w:sz w:val="24"/>
          <w:szCs w:val="24"/>
        </w:rPr>
      </w:pPr>
      <w:r w:rsidRPr="00B13F50">
        <w:rPr>
          <w:rFonts w:ascii="Times New Roman" w:hAnsi="Times New Roman" w:cs="Times New Roman"/>
          <w:b/>
          <w:sz w:val="24"/>
          <w:szCs w:val="24"/>
        </w:rPr>
        <w:t xml:space="preserve">Figure 4 </w:t>
      </w:r>
      <w:r w:rsidRPr="00B13F50">
        <w:rPr>
          <w:rFonts w:ascii="Times New Roman" w:hAnsi="Times New Roman" w:cs="Times New Roman"/>
          <w:sz w:val="24"/>
          <w:szCs w:val="24"/>
        </w:rPr>
        <w:t>Dispersion profile of solid s</w:t>
      </w:r>
      <w:r>
        <w:rPr>
          <w:rFonts w:ascii="Times New Roman" w:hAnsi="Times New Roman" w:cs="Times New Roman"/>
          <w:sz w:val="24"/>
          <w:szCs w:val="24"/>
        </w:rPr>
        <w:t>ystem containing (A) Captex 355/</w:t>
      </w:r>
      <w:r w:rsidRPr="00B13F50">
        <w:rPr>
          <w:rFonts w:ascii="Times New Roman" w:hAnsi="Times New Roman" w:cs="Times New Roman"/>
          <w:sz w:val="24"/>
          <w:szCs w:val="24"/>
        </w:rPr>
        <w:t>Acconon C-50 and (B) Captex 355</w:t>
      </w:r>
      <w:r>
        <w:rPr>
          <w:rFonts w:ascii="Times New Roman" w:hAnsi="Times New Roman" w:cs="Times New Roman"/>
          <w:sz w:val="24"/>
          <w:szCs w:val="24"/>
        </w:rPr>
        <w:t>/</w:t>
      </w:r>
      <w:r w:rsidRPr="00B13F50">
        <w:rPr>
          <w:rFonts w:ascii="Times New Roman" w:hAnsi="Times New Roman" w:cs="Times New Roman"/>
          <w:sz w:val="24"/>
          <w:szCs w:val="24"/>
        </w:rPr>
        <w:t>Gelucire 50/13 using 250mL 0.</w:t>
      </w:r>
      <w:r>
        <w:rPr>
          <w:rFonts w:ascii="Times New Roman" w:hAnsi="Times New Roman" w:cs="Times New Roman"/>
          <w:sz w:val="24"/>
          <w:szCs w:val="24"/>
        </w:rPr>
        <w:t xml:space="preserve">01N HCL as dispersion medium at </w:t>
      </w:r>
      <w:r w:rsidRPr="00B13F50">
        <w:rPr>
          <w:rFonts w:ascii="Times New Roman" w:hAnsi="Times New Roman" w:cs="Times New Roman"/>
          <w:sz w:val="24"/>
          <w:szCs w:val="24"/>
        </w:rPr>
        <w:t>37 ºC.</w:t>
      </w:r>
    </w:p>
    <w:p w:rsidR="00E61F41" w:rsidRPr="00B13F50" w:rsidRDefault="00E61F41" w:rsidP="00E61F41">
      <w:pPr>
        <w:spacing w:line="480" w:lineRule="auto"/>
        <w:jc w:val="both"/>
        <w:rPr>
          <w:rFonts w:ascii="Times New Roman" w:hAnsi="Times New Roman" w:cs="Times New Roman"/>
          <w:sz w:val="24"/>
          <w:szCs w:val="24"/>
        </w:rPr>
      </w:pPr>
    </w:p>
    <w:p w:rsidR="00E61F41" w:rsidRPr="00B13F50" w:rsidRDefault="00E61F41" w:rsidP="00E61F4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4876800"/>
            <wp:effectExtent l="19050" t="19050" r="28575"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4876800"/>
                    </a:xfrm>
                    <a:prstGeom prst="rect">
                      <a:avLst/>
                    </a:prstGeom>
                    <a:noFill/>
                    <a:ln w="12700">
                      <a:solidFill>
                        <a:schemeClr val="tx1"/>
                      </a:solidFill>
                      <a:miter lim="800000"/>
                      <a:headEnd/>
                      <a:tailEnd/>
                    </a:ln>
                  </pic:spPr>
                </pic:pic>
              </a:graphicData>
            </a:graphic>
          </wp:inline>
        </w:drawing>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b/>
          <w:sz w:val="24"/>
          <w:szCs w:val="24"/>
        </w:rPr>
        <w:t xml:space="preserve">Figure 5 </w:t>
      </w:r>
      <w:r w:rsidRPr="00B13F50">
        <w:rPr>
          <w:rFonts w:ascii="Times New Roman" w:hAnsi="Times New Roman" w:cs="Times New Roman"/>
          <w:sz w:val="24"/>
          <w:szCs w:val="24"/>
        </w:rPr>
        <w:t>Average particle size</w:t>
      </w:r>
      <w:r>
        <w:rPr>
          <w:rFonts w:ascii="Times New Roman" w:hAnsi="Times New Roman" w:cs="Times New Roman"/>
          <w:sz w:val="24"/>
          <w:szCs w:val="24"/>
        </w:rPr>
        <w:t xml:space="preserve"> of emulsion </w:t>
      </w:r>
      <w:r w:rsidRPr="00B13F50">
        <w:rPr>
          <w:rFonts w:ascii="Times New Roman" w:hAnsi="Times New Roman" w:cs="Times New Roman"/>
          <w:sz w:val="24"/>
          <w:szCs w:val="24"/>
        </w:rPr>
        <w:t xml:space="preserve">of solid preconcentrate in aqueous media during dispersion test. Key: (a) </w:t>
      </w:r>
      <w:r>
        <w:rPr>
          <w:rFonts w:ascii="Times New Roman" w:hAnsi="Times New Roman" w:cs="Times New Roman"/>
          <w:sz w:val="24"/>
          <w:szCs w:val="24"/>
        </w:rPr>
        <w:t>3:7-</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without drug</w:t>
      </w:r>
      <w:r>
        <w:rPr>
          <w:rFonts w:ascii="Times New Roman" w:hAnsi="Times New Roman" w:cs="Times New Roman"/>
          <w:sz w:val="24"/>
          <w:szCs w:val="24"/>
        </w:rPr>
        <w:t xml:space="preserve">; </w:t>
      </w:r>
      <w:r w:rsidRPr="00B13F50">
        <w:rPr>
          <w:rFonts w:ascii="Times New Roman" w:hAnsi="Times New Roman" w:cs="Times New Roman"/>
          <w:sz w:val="24"/>
          <w:szCs w:val="24"/>
        </w:rPr>
        <w:t xml:space="preserve">(b) </w:t>
      </w:r>
      <w:r>
        <w:rPr>
          <w:rFonts w:ascii="Times New Roman" w:hAnsi="Times New Roman" w:cs="Times New Roman"/>
          <w:sz w:val="24"/>
          <w:szCs w:val="24"/>
        </w:rPr>
        <w:t>3:7-</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 drug</w:t>
      </w:r>
      <w:r>
        <w:rPr>
          <w:rFonts w:ascii="Times New Roman" w:hAnsi="Times New Roman" w:cs="Times New Roman"/>
          <w:sz w:val="24"/>
          <w:szCs w:val="24"/>
        </w:rPr>
        <w:t>;</w:t>
      </w:r>
      <w:r w:rsidRPr="00B13F50">
        <w:rPr>
          <w:rFonts w:ascii="Times New Roman" w:hAnsi="Times New Roman" w:cs="Times New Roman"/>
          <w:sz w:val="24"/>
          <w:szCs w:val="24"/>
        </w:rPr>
        <w:t xml:space="preserve"> (c)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without drug</w:t>
      </w:r>
      <w:r>
        <w:rPr>
          <w:rFonts w:ascii="Times New Roman" w:hAnsi="Times New Roman" w:cs="Times New Roman"/>
          <w:sz w:val="24"/>
          <w:szCs w:val="24"/>
        </w:rPr>
        <w:t>;</w:t>
      </w:r>
      <w:r w:rsidRPr="00B13F50">
        <w:rPr>
          <w:rFonts w:ascii="Times New Roman" w:hAnsi="Times New Roman" w:cs="Times New Roman"/>
          <w:sz w:val="24"/>
          <w:szCs w:val="24"/>
        </w:rPr>
        <w:t xml:space="preserve"> (d)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 drug</w:t>
      </w:r>
      <w:r>
        <w:rPr>
          <w:rFonts w:ascii="Times New Roman" w:hAnsi="Times New Roman" w:cs="Times New Roman"/>
          <w:sz w:val="24"/>
          <w:szCs w:val="24"/>
        </w:rPr>
        <w:t>;</w:t>
      </w:r>
      <w:r w:rsidRPr="00B13F50">
        <w:rPr>
          <w:rFonts w:ascii="Times New Roman" w:hAnsi="Times New Roman" w:cs="Times New Roman"/>
          <w:sz w:val="24"/>
          <w:szCs w:val="24"/>
        </w:rPr>
        <w:t xml:space="preserve"> (e) </w:t>
      </w:r>
      <w:r>
        <w:rPr>
          <w:rFonts w:ascii="Times New Roman" w:hAnsi="Times New Roman" w:cs="Times New Roman"/>
          <w:sz w:val="24"/>
          <w:szCs w:val="24"/>
        </w:rPr>
        <w:t>7:3-</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without drug</w:t>
      </w:r>
      <w:r>
        <w:rPr>
          <w:rFonts w:ascii="Times New Roman" w:hAnsi="Times New Roman" w:cs="Times New Roman"/>
          <w:sz w:val="24"/>
          <w:szCs w:val="24"/>
        </w:rPr>
        <w:t>;</w:t>
      </w:r>
      <w:r w:rsidRPr="00B13F50">
        <w:rPr>
          <w:rFonts w:ascii="Times New Roman" w:hAnsi="Times New Roman" w:cs="Times New Roman"/>
          <w:sz w:val="24"/>
          <w:szCs w:val="24"/>
        </w:rPr>
        <w:t xml:space="preserve"> </w:t>
      </w:r>
      <w:r w:rsidR="009D055D">
        <w:rPr>
          <w:rFonts w:ascii="Times New Roman" w:hAnsi="Times New Roman" w:cs="Times New Roman"/>
          <w:sz w:val="24"/>
          <w:szCs w:val="24"/>
        </w:rPr>
        <w:t xml:space="preserve">and </w:t>
      </w:r>
      <w:r w:rsidRPr="00B13F50">
        <w:rPr>
          <w:rFonts w:ascii="Times New Roman" w:hAnsi="Times New Roman" w:cs="Times New Roman"/>
          <w:sz w:val="24"/>
          <w:szCs w:val="24"/>
        </w:rPr>
        <w:t xml:space="preserve">(f) </w:t>
      </w:r>
      <w:r>
        <w:rPr>
          <w:rFonts w:ascii="Times New Roman" w:hAnsi="Times New Roman" w:cs="Times New Roman"/>
          <w:sz w:val="24"/>
          <w:szCs w:val="24"/>
        </w:rPr>
        <w:t>7:3-</w:t>
      </w:r>
      <w:r w:rsidRPr="00B13F50">
        <w:rPr>
          <w:rFonts w:ascii="Times New Roman" w:hAnsi="Times New Roman" w:cs="Times New Roman"/>
          <w:sz w:val="24"/>
          <w:szCs w:val="24"/>
        </w:rPr>
        <w:t>Captex 355</w:t>
      </w:r>
      <w:r>
        <w:rPr>
          <w:rFonts w:ascii="Times New Roman" w:hAnsi="Times New Roman" w:cs="Times New Roman"/>
          <w:sz w:val="24"/>
          <w:szCs w:val="24"/>
        </w:rPr>
        <w:t>/</w:t>
      </w:r>
      <w:r w:rsidRPr="00B13F50">
        <w:rPr>
          <w:rFonts w:ascii="Times New Roman" w:hAnsi="Times New Roman" w:cs="Times New Roman"/>
          <w:sz w:val="24"/>
          <w:szCs w:val="24"/>
        </w:rPr>
        <w:t>Acconon C-50 with drug.</w:t>
      </w: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sz w:val="24"/>
          <w:szCs w:val="24"/>
        </w:rPr>
      </w:pPr>
      <w:r w:rsidRPr="00B13F50">
        <w:rPr>
          <w:rFonts w:ascii="Times New Roman" w:hAnsi="Times New Roman" w:cs="Times New Roman"/>
          <w:noProof/>
          <w:sz w:val="24"/>
          <w:szCs w:val="24"/>
        </w:rPr>
        <w:lastRenderedPageBreak/>
        <w:drawing>
          <wp:inline distT="0" distB="0" distL="0" distR="0">
            <wp:extent cx="5943600" cy="4911725"/>
            <wp:effectExtent l="19050" t="19050" r="19050" b="22225"/>
            <wp:docPr id="12" name="Picture 12" descr="C:\Users\nrups\Desktop\Manu-2\G50 317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rups\Desktop\Manu-2\G50 317 PS.jpg"/>
                    <pic:cNvPicPr>
                      <a:picLocks noChangeAspect="1" noChangeArrowheads="1"/>
                    </pic:cNvPicPr>
                  </pic:nvPicPr>
                  <pic:blipFill>
                    <a:blip r:embed="rId13" cstate="print"/>
                    <a:srcRect/>
                    <a:stretch>
                      <a:fillRect/>
                    </a:stretch>
                  </pic:blipFill>
                  <pic:spPr bwMode="auto">
                    <a:xfrm>
                      <a:off x="0" y="0"/>
                      <a:ext cx="5943600" cy="4911725"/>
                    </a:xfrm>
                    <a:prstGeom prst="rect">
                      <a:avLst/>
                    </a:prstGeom>
                    <a:noFill/>
                    <a:ln w="19050">
                      <a:solidFill>
                        <a:schemeClr val="tx1"/>
                      </a:solidFill>
                      <a:miter lim="800000"/>
                      <a:headEnd/>
                      <a:tailEnd/>
                    </a:ln>
                  </pic:spPr>
                </pic:pic>
              </a:graphicData>
            </a:graphic>
          </wp:inline>
        </w:drawing>
      </w: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r w:rsidRPr="00B13F50">
        <w:rPr>
          <w:rFonts w:ascii="Times New Roman" w:hAnsi="Times New Roman" w:cs="Times New Roman"/>
          <w:b/>
          <w:sz w:val="24"/>
          <w:szCs w:val="24"/>
        </w:rPr>
        <w:t xml:space="preserve">Figure 6 </w:t>
      </w:r>
      <w:r w:rsidRPr="00B13F50">
        <w:rPr>
          <w:rFonts w:ascii="Times New Roman" w:hAnsi="Times New Roman" w:cs="Times New Roman"/>
          <w:sz w:val="24"/>
          <w:szCs w:val="24"/>
        </w:rPr>
        <w:t>Average particle size</w:t>
      </w:r>
      <w:r>
        <w:rPr>
          <w:rFonts w:ascii="Times New Roman" w:hAnsi="Times New Roman" w:cs="Times New Roman"/>
          <w:sz w:val="24"/>
          <w:szCs w:val="24"/>
        </w:rPr>
        <w:t xml:space="preserve"> of emulsion </w:t>
      </w:r>
      <w:r w:rsidRPr="00B13F50">
        <w:rPr>
          <w:rFonts w:ascii="Times New Roman" w:hAnsi="Times New Roman" w:cs="Times New Roman"/>
          <w:sz w:val="24"/>
          <w:szCs w:val="24"/>
        </w:rPr>
        <w:t xml:space="preserve">of solid preconcentrate in aqueous media during dispersion test. Key: (a) </w:t>
      </w:r>
      <w:r>
        <w:rPr>
          <w:rFonts w:ascii="Times New Roman" w:hAnsi="Times New Roman" w:cs="Times New Roman"/>
          <w:sz w:val="24"/>
          <w:szCs w:val="24"/>
        </w:rPr>
        <w:t>3:7-</w:t>
      </w:r>
      <w:r w:rsidRPr="00B13F50">
        <w:rPr>
          <w:rFonts w:ascii="Times New Roman" w:hAnsi="Times New Roman" w:cs="Times New Roman"/>
          <w:sz w:val="24"/>
          <w:szCs w:val="24"/>
        </w:rPr>
        <w:t>Captex 355</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without drug</w:t>
      </w:r>
      <w:r>
        <w:rPr>
          <w:rFonts w:ascii="Times New Roman" w:hAnsi="Times New Roman" w:cs="Times New Roman"/>
          <w:sz w:val="24"/>
          <w:szCs w:val="24"/>
        </w:rPr>
        <w:t xml:space="preserve">; </w:t>
      </w:r>
      <w:r w:rsidRPr="00B13F50">
        <w:rPr>
          <w:rFonts w:ascii="Times New Roman" w:hAnsi="Times New Roman" w:cs="Times New Roman"/>
          <w:sz w:val="24"/>
          <w:szCs w:val="24"/>
        </w:rPr>
        <w:t xml:space="preserve">(b) </w:t>
      </w:r>
      <w:r>
        <w:rPr>
          <w:rFonts w:ascii="Times New Roman" w:hAnsi="Times New Roman" w:cs="Times New Roman"/>
          <w:sz w:val="24"/>
          <w:szCs w:val="24"/>
        </w:rPr>
        <w:t>3:7-</w:t>
      </w:r>
      <w:r w:rsidRPr="00B13F50">
        <w:rPr>
          <w:rFonts w:ascii="Times New Roman" w:hAnsi="Times New Roman" w:cs="Times New Roman"/>
          <w:sz w:val="24"/>
          <w:szCs w:val="24"/>
        </w:rPr>
        <w:t>Captex 355</w:t>
      </w:r>
      <w:r>
        <w:rPr>
          <w:rFonts w:ascii="Times New Roman" w:hAnsi="Times New Roman" w:cs="Times New Roman"/>
          <w:sz w:val="24"/>
          <w:szCs w:val="24"/>
        </w:rPr>
        <w:t>/</w:t>
      </w:r>
      <w:r w:rsidRPr="0044111A">
        <w:rPr>
          <w:rFonts w:ascii="Times New Roman" w:hAnsi="Times New Roman" w:cs="Times New Roman"/>
          <w:sz w:val="24"/>
          <w:szCs w:val="24"/>
        </w:rPr>
        <w:t xml:space="preserve"> </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 drug</w:t>
      </w:r>
      <w:r>
        <w:rPr>
          <w:rFonts w:ascii="Times New Roman" w:hAnsi="Times New Roman" w:cs="Times New Roman"/>
          <w:sz w:val="24"/>
          <w:szCs w:val="24"/>
        </w:rPr>
        <w:t>;</w:t>
      </w:r>
      <w:r w:rsidRPr="00B13F50">
        <w:rPr>
          <w:rFonts w:ascii="Times New Roman" w:hAnsi="Times New Roman" w:cs="Times New Roman"/>
          <w:sz w:val="24"/>
          <w:szCs w:val="24"/>
        </w:rPr>
        <w:t xml:space="preserve"> (c)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w:t>
      </w:r>
      <w:r w:rsidRPr="0044111A">
        <w:rPr>
          <w:rFonts w:ascii="Times New Roman" w:hAnsi="Times New Roman" w:cs="Times New Roman"/>
          <w:sz w:val="24"/>
          <w:szCs w:val="24"/>
        </w:rPr>
        <w:t xml:space="preserve"> </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without drug</w:t>
      </w:r>
      <w:r>
        <w:rPr>
          <w:rFonts w:ascii="Times New Roman" w:hAnsi="Times New Roman" w:cs="Times New Roman"/>
          <w:sz w:val="24"/>
          <w:szCs w:val="24"/>
        </w:rPr>
        <w:t>;</w:t>
      </w:r>
      <w:r w:rsidRPr="00B13F50">
        <w:rPr>
          <w:rFonts w:ascii="Times New Roman" w:hAnsi="Times New Roman" w:cs="Times New Roman"/>
          <w:sz w:val="24"/>
          <w:szCs w:val="24"/>
        </w:rPr>
        <w:t xml:space="preserve"> (d) </w:t>
      </w:r>
      <w:r>
        <w:rPr>
          <w:rFonts w:ascii="Times New Roman" w:hAnsi="Times New Roman" w:cs="Times New Roman"/>
          <w:sz w:val="24"/>
          <w:szCs w:val="24"/>
        </w:rPr>
        <w:t>1:1-</w:t>
      </w:r>
      <w:r w:rsidRPr="00B13F50">
        <w:rPr>
          <w:rFonts w:ascii="Times New Roman" w:hAnsi="Times New Roman" w:cs="Times New Roman"/>
          <w:sz w:val="24"/>
          <w:szCs w:val="24"/>
        </w:rPr>
        <w:t>Captex 355</w:t>
      </w:r>
      <w:r>
        <w:rPr>
          <w:rFonts w:ascii="Times New Roman" w:hAnsi="Times New Roman" w:cs="Times New Roman"/>
          <w:sz w:val="24"/>
          <w:szCs w:val="24"/>
        </w:rPr>
        <w:t>/</w:t>
      </w:r>
      <w:r w:rsidRPr="0044111A">
        <w:rPr>
          <w:rFonts w:ascii="Times New Roman" w:hAnsi="Times New Roman" w:cs="Times New Roman"/>
          <w:sz w:val="24"/>
          <w:szCs w:val="24"/>
        </w:rPr>
        <w:t xml:space="preserve"> </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 drug</w:t>
      </w:r>
      <w:r>
        <w:rPr>
          <w:rFonts w:ascii="Times New Roman" w:hAnsi="Times New Roman" w:cs="Times New Roman"/>
          <w:sz w:val="24"/>
          <w:szCs w:val="24"/>
        </w:rPr>
        <w:t>;</w:t>
      </w:r>
      <w:r w:rsidRPr="00B13F50">
        <w:rPr>
          <w:rFonts w:ascii="Times New Roman" w:hAnsi="Times New Roman" w:cs="Times New Roman"/>
          <w:sz w:val="24"/>
          <w:szCs w:val="24"/>
        </w:rPr>
        <w:t xml:space="preserve"> (e) </w:t>
      </w:r>
      <w:r>
        <w:rPr>
          <w:rFonts w:ascii="Times New Roman" w:hAnsi="Times New Roman" w:cs="Times New Roman"/>
          <w:sz w:val="24"/>
          <w:szCs w:val="24"/>
        </w:rPr>
        <w:t>7:3-</w:t>
      </w:r>
      <w:r w:rsidRPr="00B13F50">
        <w:rPr>
          <w:rFonts w:ascii="Times New Roman" w:hAnsi="Times New Roman" w:cs="Times New Roman"/>
          <w:sz w:val="24"/>
          <w:szCs w:val="24"/>
        </w:rPr>
        <w:t>Captex 355</w:t>
      </w:r>
      <w:r>
        <w:rPr>
          <w:rFonts w:ascii="Times New Roman" w:hAnsi="Times New Roman" w:cs="Times New Roman"/>
          <w:sz w:val="24"/>
          <w:szCs w:val="24"/>
        </w:rPr>
        <w:t>/</w:t>
      </w:r>
      <w:r w:rsidRPr="0044111A">
        <w:rPr>
          <w:rFonts w:ascii="Times New Roman" w:hAnsi="Times New Roman" w:cs="Times New Roman"/>
          <w:sz w:val="24"/>
          <w:szCs w:val="24"/>
        </w:rPr>
        <w:t xml:space="preserve"> </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without drug</w:t>
      </w:r>
      <w:r>
        <w:rPr>
          <w:rFonts w:ascii="Times New Roman" w:hAnsi="Times New Roman" w:cs="Times New Roman"/>
          <w:sz w:val="24"/>
          <w:szCs w:val="24"/>
        </w:rPr>
        <w:t>;</w:t>
      </w:r>
      <w:r w:rsidRPr="00B13F50">
        <w:rPr>
          <w:rFonts w:ascii="Times New Roman" w:hAnsi="Times New Roman" w:cs="Times New Roman"/>
          <w:sz w:val="24"/>
          <w:szCs w:val="24"/>
        </w:rPr>
        <w:t xml:space="preserve"> </w:t>
      </w:r>
      <w:r w:rsidR="009D055D">
        <w:rPr>
          <w:rFonts w:ascii="Times New Roman" w:hAnsi="Times New Roman" w:cs="Times New Roman"/>
          <w:sz w:val="24"/>
          <w:szCs w:val="24"/>
        </w:rPr>
        <w:t xml:space="preserve">and </w:t>
      </w:r>
      <w:r w:rsidRPr="00B13F50">
        <w:rPr>
          <w:rFonts w:ascii="Times New Roman" w:hAnsi="Times New Roman" w:cs="Times New Roman"/>
          <w:sz w:val="24"/>
          <w:szCs w:val="24"/>
        </w:rPr>
        <w:t xml:space="preserve">(f) </w:t>
      </w:r>
      <w:r>
        <w:rPr>
          <w:rFonts w:ascii="Times New Roman" w:hAnsi="Times New Roman" w:cs="Times New Roman"/>
          <w:sz w:val="24"/>
          <w:szCs w:val="24"/>
        </w:rPr>
        <w:t>7:3-</w:t>
      </w:r>
      <w:r w:rsidRPr="00B13F50">
        <w:rPr>
          <w:rFonts w:ascii="Times New Roman" w:hAnsi="Times New Roman" w:cs="Times New Roman"/>
          <w:sz w:val="24"/>
          <w:szCs w:val="24"/>
        </w:rPr>
        <w:t>Captex 355</w:t>
      </w:r>
      <w:r>
        <w:rPr>
          <w:rFonts w:ascii="Times New Roman" w:hAnsi="Times New Roman" w:cs="Times New Roman"/>
          <w:sz w:val="24"/>
          <w:szCs w:val="24"/>
        </w:rPr>
        <w:t>/</w:t>
      </w:r>
      <w:r w:rsidRPr="0044111A">
        <w:rPr>
          <w:rFonts w:ascii="Times New Roman" w:hAnsi="Times New Roman" w:cs="Times New Roman"/>
          <w:sz w:val="24"/>
          <w:szCs w:val="24"/>
        </w:rPr>
        <w:t xml:space="preserve"> </w:t>
      </w:r>
      <w:r>
        <w:rPr>
          <w:rFonts w:ascii="Times New Roman" w:hAnsi="Times New Roman" w:cs="Times New Roman"/>
          <w:sz w:val="24"/>
          <w:szCs w:val="24"/>
        </w:rPr>
        <w:t xml:space="preserve">Gelucire </w:t>
      </w:r>
      <w:r w:rsidRPr="00B13F50">
        <w:rPr>
          <w:rFonts w:ascii="Times New Roman" w:hAnsi="Times New Roman" w:cs="Times New Roman"/>
          <w:sz w:val="24"/>
          <w:szCs w:val="24"/>
        </w:rPr>
        <w:t>50</w:t>
      </w:r>
      <w:r>
        <w:rPr>
          <w:rFonts w:ascii="Times New Roman" w:hAnsi="Times New Roman" w:cs="Times New Roman"/>
          <w:sz w:val="24"/>
          <w:szCs w:val="24"/>
        </w:rPr>
        <w:t>/13</w:t>
      </w:r>
      <w:r w:rsidRPr="00B13F50">
        <w:rPr>
          <w:rFonts w:ascii="Times New Roman" w:hAnsi="Times New Roman" w:cs="Times New Roman"/>
          <w:sz w:val="24"/>
          <w:szCs w:val="24"/>
        </w:rPr>
        <w:t xml:space="preserve"> with drug.</w:t>
      </w: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p>
    <w:p w:rsidR="00E61F41" w:rsidRPr="00B13F50" w:rsidRDefault="00E61F41" w:rsidP="00E61F41">
      <w:pPr>
        <w:autoSpaceDE w:val="0"/>
        <w:autoSpaceDN w:val="0"/>
        <w:adjustRightInd w:val="0"/>
        <w:spacing w:after="0" w:line="480" w:lineRule="auto"/>
        <w:jc w:val="both"/>
        <w:rPr>
          <w:rFonts w:ascii="Times New Roman" w:hAnsi="Times New Roman" w:cs="Times New Roman"/>
          <w:b/>
          <w:sz w:val="24"/>
          <w:szCs w:val="24"/>
        </w:rPr>
      </w:pPr>
    </w:p>
    <w:p w:rsidR="00FB28AF" w:rsidRDefault="00FB28AF"/>
    <w:p w:rsidR="001C6F45" w:rsidRDefault="001C6F45"/>
    <w:sectPr w:rsidR="001C6F45" w:rsidSect="00FD3681">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D9B" w:rsidRDefault="00E76D9B" w:rsidP="00CF7A63">
      <w:pPr>
        <w:spacing w:after="0" w:line="240" w:lineRule="auto"/>
      </w:pPr>
      <w:r>
        <w:separator/>
      </w:r>
    </w:p>
  </w:endnote>
  <w:endnote w:type="continuationSeparator" w:id="1">
    <w:p w:rsidR="00E76D9B" w:rsidRDefault="00E76D9B" w:rsidP="00CF7A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5719"/>
      <w:docPartObj>
        <w:docPartGallery w:val="Page Numbers (Bottom of Page)"/>
        <w:docPartUnique/>
      </w:docPartObj>
    </w:sdtPr>
    <w:sdtContent>
      <w:p w:rsidR="00763428" w:rsidRDefault="009B7BBB">
        <w:pPr>
          <w:pStyle w:val="Footer"/>
          <w:jc w:val="center"/>
        </w:pPr>
        <w:fldSimple w:instr=" PAGE   \* MERGEFORMAT ">
          <w:r w:rsidR="002C5D5A">
            <w:rPr>
              <w:noProof/>
            </w:rPr>
            <w:t>25</w:t>
          </w:r>
        </w:fldSimple>
      </w:p>
    </w:sdtContent>
  </w:sdt>
  <w:p w:rsidR="00763428" w:rsidRDefault="007634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D9B" w:rsidRDefault="00E76D9B" w:rsidP="00CF7A63">
      <w:pPr>
        <w:spacing w:after="0" w:line="240" w:lineRule="auto"/>
      </w:pPr>
      <w:r>
        <w:separator/>
      </w:r>
    </w:p>
  </w:footnote>
  <w:footnote w:type="continuationSeparator" w:id="1">
    <w:p w:rsidR="00E76D9B" w:rsidRDefault="00E76D9B" w:rsidP="00CF7A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61F41"/>
    <w:rsid w:val="000F72AC"/>
    <w:rsid w:val="001472D6"/>
    <w:rsid w:val="001C0D15"/>
    <w:rsid w:val="001C6F45"/>
    <w:rsid w:val="001E14B3"/>
    <w:rsid w:val="0028265E"/>
    <w:rsid w:val="002B2A3A"/>
    <w:rsid w:val="002C5D5A"/>
    <w:rsid w:val="002E582F"/>
    <w:rsid w:val="00317A64"/>
    <w:rsid w:val="00321A3E"/>
    <w:rsid w:val="00322CEB"/>
    <w:rsid w:val="00323C40"/>
    <w:rsid w:val="00354B34"/>
    <w:rsid w:val="00373439"/>
    <w:rsid w:val="00376070"/>
    <w:rsid w:val="004067EA"/>
    <w:rsid w:val="004703D7"/>
    <w:rsid w:val="00483384"/>
    <w:rsid w:val="004B6DCA"/>
    <w:rsid w:val="004C0ACF"/>
    <w:rsid w:val="0053576E"/>
    <w:rsid w:val="005723F7"/>
    <w:rsid w:val="005C7F32"/>
    <w:rsid w:val="006C4093"/>
    <w:rsid w:val="00763428"/>
    <w:rsid w:val="008257FF"/>
    <w:rsid w:val="009340C8"/>
    <w:rsid w:val="009B7BBB"/>
    <w:rsid w:val="009D055D"/>
    <w:rsid w:val="00A20706"/>
    <w:rsid w:val="00A3236A"/>
    <w:rsid w:val="00A93DF4"/>
    <w:rsid w:val="00B05190"/>
    <w:rsid w:val="00B405A0"/>
    <w:rsid w:val="00B4461C"/>
    <w:rsid w:val="00B57642"/>
    <w:rsid w:val="00BB6E2A"/>
    <w:rsid w:val="00C137F4"/>
    <w:rsid w:val="00CB7477"/>
    <w:rsid w:val="00CF7A63"/>
    <w:rsid w:val="00D017AF"/>
    <w:rsid w:val="00D327B8"/>
    <w:rsid w:val="00D63E3F"/>
    <w:rsid w:val="00D87D93"/>
    <w:rsid w:val="00DA4B1C"/>
    <w:rsid w:val="00DC08A0"/>
    <w:rsid w:val="00DD000E"/>
    <w:rsid w:val="00DD36E3"/>
    <w:rsid w:val="00DF3DAC"/>
    <w:rsid w:val="00E61F41"/>
    <w:rsid w:val="00E64BE9"/>
    <w:rsid w:val="00E71A0F"/>
    <w:rsid w:val="00E76D9B"/>
    <w:rsid w:val="00EA4BC1"/>
    <w:rsid w:val="00F067BC"/>
    <w:rsid w:val="00F2245B"/>
    <w:rsid w:val="00F44784"/>
    <w:rsid w:val="00F62E61"/>
    <w:rsid w:val="00FB28AF"/>
    <w:rsid w:val="00FD3681"/>
    <w:rsid w:val="00FE45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F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61F41"/>
  </w:style>
  <w:style w:type="paragraph" w:styleId="BalloonText">
    <w:name w:val="Balloon Text"/>
    <w:basedOn w:val="Normal"/>
    <w:link w:val="BalloonTextChar"/>
    <w:uiPriority w:val="99"/>
    <w:semiHidden/>
    <w:unhideWhenUsed/>
    <w:rsid w:val="00E61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F41"/>
    <w:rPr>
      <w:rFonts w:ascii="Tahoma" w:hAnsi="Tahoma" w:cs="Tahoma"/>
      <w:sz w:val="16"/>
      <w:szCs w:val="16"/>
    </w:rPr>
  </w:style>
  <w:style w:type="paragraph" w:styleId="NormalWeb">
    <w:name w:val="Normal (Web)"/>
    <w:basedOn w:val="Normal"/>
    <w:uiPriority w:val="99"/>
    <w:unhideWhenUsed/>
    <w:rsid w:val="00FB28A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472D6"/>
    <w:pPr>
      <w:spacing w:after="0" w:line="360" w:lineRule="auto"/>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CF7A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7A63"/>
  </w:style>
  <w:style w:type="paragraph" w:styleId="Footer">
    <w:name w:val="footer"/>
    <w:basedOn w:val="Normal"/>
    <w:link w:val="FooterChar"/>
    <w:uiPriority w:val="99"/>
    <w:unhideWhenUsed/>
    <w:rsid w:val="00CF7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A63"/>
  </w:style>
  <w:style w:type="character" w:customStyle="1" w:styleId="apple-converted-space">
    <w:name w:val="apple-converted-space"/>
    <w:basedOn w:val="DefaultParagraphFont"/>
    <w:rsid w:val="00323C40"/>
  </w:style>
  <w:style w:type="character" w:customStyle="1" w:styleId="slug-vol">
    <w:name w:val="slug-vol"/>
    <w:basedOn w:val="DefaultParagraphFont"/>
    <w:rsid w:val="00323C40"/>
  </w:style>
  <w:style w:type="character" w:customStyle="1" w:styleId="slug-pages">
    <w:name w:val="slug-pages"/>
    <w:basedOn w:val="DefaultParagraphFont"/>
    <w:rsid w:val="00323C40"/>
  </w:style>
  <w:style w:type="character" w:styleId="CommentReference">
    <w:name w:val="annotation reference"/>
    <w:basedOn w:val="DefaultParagraphFont"/>
    <w:uiPriority w:val="99"/>
    <w:semiHidden/>
    <w:unhideWhenUsed/>
    <w:rsid w:val="00D017AF"/>
    <w:rPr>
      <w:sz w:val="16"/>
      <w:szCs w:val="16"/>
    </w:rPr>
  </w:style>
  <w:style w:type="paragraph" w:styleId="CommentText">
    <w:name w:val="annotation text"/>
    <w:basedOn w:val="Normal"/>
    <w:link w:val="CommentTextChar"/>
    <w:uiPriority w:val="99"/>
    <w:semiHidden/>
    <w:unhideWhenUsed/>
    <w:rsid w:val="00D017AF"/>
    <w:pPr>
      <w:spacing w:line="240" w:lineRule="auto"/>
    </w:pPr>
    <w:rPr>
      <w:sz w:val="20"/>
      <w:szCs w:val="20"/>
    </w:rPr>
  </w:style>
  <w:style w:type="character" w:customStyle="1" w:styleId="CommentTextChar">
    <w:name w:val="Comment Text Char"/>
    <w:basedOn w:val="DefaultParagraphFont"/>
    <w:link w:val="CommentText"/>
    <w:uiPriority w:val="99"/>
    <w:semiHidden/>
    <w:rsid w:val="00D017AF"/>
    <w:rPr>
      <w:sz w:val="20"/>
      <w:szCs w:val="20"/>
    </w:rPr>
  </w:style>
  <w:style w:type="paragraph" w:styleId="CommentSubject">
    <w:name w:val="annotation subject"/>
    <w:basedOn w:val="CommentText"/>
    <w:next w:val="CommentText"/>
    <w:link w:val="CommentSubjectChar"/>
    <w:uiPriority w:val="99"/>
    <w:semiHidden/>
    <w:unhideWhenUsed/>
    <w:rsid w:val="00D017AF"/>
    <w:rPr>
      <w:b/>
      <w:bCs/>
    </w:rPr>
  </w:style>
  <w:style w:type="character" w:customStyle="1" w:styleId="CommentSubjectChar">
    <w:name w:val="Comment Subject Char"/>
    <w:basedOn w:val="CommentTextChar"/>
    <w:link w:val="CommentSubject"/>
    <w:uiPriority w:val="99"/>
    <w:semiHidden/>
    <w:rsid w:val="00D017AF"/>
    <w:rPr>
      <w:b/>
      <w:bCs/>
    </w:rPr>
  </w:style>
</w:styles>
</file>

<file path=word/webSettings.xml><?xml version="1.0" encoding="utf-8"?>
<w:webSettings xmlns:r="http://schemas.openxmlformats.org/officeDocument/2006/relationships" xmlns:w="http://schemas.openxmlformats.org/wordprocessingml/2006/main">
  <w:divs>
    <w:div w:id="25908824">
      <w:bodyDiv w:val="1"/>
      <w:marLeft w:val="0"/>
      <w:marRight w:val="0"/>
      <w:marTop w:val="0"/>
      <w:marBottom w:val="0"/>
      <w:divBdr>
        <w:top w:val="none" w:sz="0" w:space="0" w:color="auto"/>
        <w:left w:val="none" w:sz="0" w:space="0" w:color="auto"/>
        <w:bottom w:val="none" w:sz="0" w:space="0" w:color="auto"/>
        <w:right w:val="none" w:sz="0" w:space="0" w:color="auto"/>
      </w:divBdr>
    </w:div>
    <w:div w:id="121270978">
      <w:bodyDiv w:val="1"/>
      <w:marLeft w:val="0"/>
      <w:marRight w:val="0"/>
      <w:marTop w:val="0"/>
      <w:marBottom w:val="0"/>
      <w:divBdr>
        <w:top w:val="none" w:sz="0" w:space="0" w:color="auto"/>
        <w:left w:val="none" w:sz="0" w:space="0" w:color="auto"/>
        <w:bottom w:val="none" w:sz="0" w:space="0" w:color="auto"/>
        <w:right w:val="none" w:sz="0" w:space="0" w:color="auto"/>
      </w:divBdr>
    </w:div>
    <w:div w:id="373845237">
      <w:bodyDiv w:val="1"/>
      <w:marLeft w:val="0"/>
      <w:marRight w:val="0"/>
      <w:marTop w:val="0"/>
      <w:marBottom w:val="0"/>
      <w:divBdr>
        <w:top w:val="none" w:sz="0" w:space="0" w:color="auto"/>
        <w:left w:val="none" w:sz="0" w:space="0" w:color="auto"/>
        <w:bottom w:val="none" w:sz="0" w:space="0" w:color="auto"/>
        <w:right w:val="none" w:sz="0" w:space="0" w:color="auto"/>
      </w:divBdr>
    </w:div>
    <w:div w:id="644359902">
      <w:bodyDiv w:val="1"/>
      <w:marLeft w:val="0"/>
      <w:marRight w:val="0"/>
      <w:marTop w:val="0"/>
      <w:marBottom w:val="0"/>
      <w:divBdr>
        <w:top w:val="none" w:sz="0" w:space="0" w:color="auto"/>
        <w:left w:val="none" w:sz="0" w:space="0" w:color="auto"/>
        <w:bottom w:val="none" w:sz="0" w:space="0" w:color="auto"/>
        <w:right w:val="none" w:sz="0" w:space="0" w:color="auto"/>
      </w:divBdr>
    </w:div>
    <w:div w:id="703557713">
      <w:bodyDiv w:val="1"/>
      <w:marLeft w:val="0"/>
      <w:marRight w:val="0"/>
      <w:marTop w:val="0"/>
      <w:marBottom w:val="0"/>
      <w:divBdr>
        <w:top w:val="none" w:sz="0" w:space="0" w:color="auto"/>
        <w:left w:val="none" w:sz="0" w:space="0" w:color="auto"/>
        <w:bottom w:val="none" w:sz="0" w:space="0" w:color="auto"/>
        <w:right w:val="none" w:sz="0" w:space="0" w:color="auto"/>
      </w:divBdr>
    </w:div>
    <w:div w:id="919103278">
      <w:bodyDiv w:val="1"/>
      <w:marLeft w:val="0"/>
      <w:marRight w:val="0"/>
      <w:marTop w:val="0"/>
      <w:marBottom w:val="0"/>
      <w:divBdr>
        <w:top w:val="none" w:sz="0" w:space="0" w:color="auto"/>
        <w:left w:val="none" w:sz="0" w:space="0" w:color="auto"/>
        <w:bottom w:val="none" w:sz="0" w:space="0" w:color="auto"/>
        <w:right w:val="none" w:sz="0" w:space="0" w:color="auto"/>
      </w:divBdr>
    </w:div>
    <w:div w:id="1149325654">
      <w:bodyDiv w:val="1"/>
      <w:marLeft w:val="0"/>
      <w:marRight w:val="0"/>
      <w:marTop w:val="0"/>
      <w:marBottom w:val="0"/>
      <w:divBdr>
        <w:top w:val="none" w:sz="0" w:space="0" w:color="auto"/>
        <w:left w:val="none" w:sz="0" w:space="0" w:color="auto"/>
        <w:bottom w:val="none" w:sz="0" w:space="0" w:color="auto"/>
        <w:right w:val="none" w:sz="0" w:space="0" w:color="auto"/>
      </w:divBdr>
    </w:div>
    <w:div w:id="1153567366">
      <w:bodyDiv w:val="1"/>
      <w:marLeft w:val="0"/>
      <w:marRight w:val="0"/>
      <w:marTop w:val="0"/>
      <w:marBottom w:val="0"/>
      <w:divBdr>
        <w:top w:val="none" w:sz="0" w:space="0" w:color="auto"/>
        <w:left w:val="none" w:sz="0" w:space="0" w:color="auto"/>
        <w:bottom w:val="none" w:sz="0" w:space="0" w:color="auto"/>
        <w:right w:val="none" w:sz="0" w:space="0" w:color="auto"/>
      </w:divBdr>
    </w:div>
    <w:div w:id="1232042614">
      <w:bodyDiv w:val="1"/>
      <w:marLeft w:val="0"/>
      <w:marRight w:val="0"/>
      <w:marTop w:val="0"/>
      <w:marBottom w:val="0"/>
      <w:divBdr>
        <w:top w:val="none" w:sz="0" w:space="0" w:color="auto"/>
        <w:left w:val="none" w:sz="0" w:space="0" w:color="auto"/>
        <w:bottom w:val="none" w:sz="0" w:space="0" w:color="auto"/>
        <w:right w:val="none" w:sz="0" w:space="0" w:color="auto"/>
      </w:divBdr>
    </w:div>
    <w:div w:id="1345016421">
      <w:bodyDiv w:val="1"/>
      <w:marLeft w:val="0"/>
      <w:marRight w:val="0"/>
      <w:marTop w:val="0"/>
      <w:marBottom w:val="0"/>
      <w:divBdr>
        <w:top w:val="none" w:sz="0" w:space="0" w:color="auto"/>
        <w:left w:val="none" w:sz="0" w:space="0" w:color="auto"/>
        <w:bottom w:val="none" w:sz="0" w:space="0" w:color="auto"/>
        <w:right w:val="none" w:sz="0" w:space="0" w:color="auto"/>
      </w:divBdr>
    </w:div>
    <w:div w:id="1398237102">
      <w:bodyDiv w:val="1"/>
      <w:marLeft w:val="0"/>
      <w:marRight w:val="0"/>
      <w:marTop w:val="0"/>
      <w:marBottom w:val="0"/>
      <w:divBdr>
        <w:top w:val="none" w:sz="0" w:space="0" w:color="auto"/>
        <w:left w:val="none" w:sz="0" w:space="0" w:color="auto"/>
        <w:bottom w:val="none" w:sz="0" w:space="0" w:color="auto"/>
        <w:right w:val="none" w:sz="0" w:space="0" w:color="auto"/>
      </w:divBdr>
    </w:div>
    <w:div w:id="1487671875">
      <w:bodyDiv w:val="1"/>
      <w:marLeft w:val="0"/>
      <w:marRight w:val="0"/>
      <w:marTop w:val="0"/>
      <w:marBottom w:val="0"/>
      <w:divBdr>
        <w:top w:val="none" w:sz="0" w:space="0" w:color="auto"/>
        <w:left w:val="none" w:sz="0" w:space="0" w:color="auto"/>
        <w:bottom w:val="none" w:sz="0" w:space="0" w:color="auto"/>
        <w:right w:val="none" w:sz="0" w:space="0" w:color="auto"/>
      </w:divBdr>
    </w:div>
    <w:div w:id="1955867111">
      <w:bodyDiv w:val="1"/>
      <w:marLeft w:val="0"/>
      <w:marRight w:val="0"/>
      <w:marTop w:val="0"/>
      <w:marBottom w:val="0"/>
      <w:divBdr>
        <w:top w:val="none" w:sz="0" w:space="0" w:color="auto"/>
        <w:left w:val="none" w:sz="0" w:space="0" w:color="auto"/>
        <w:bottom w:val="none" w:sz="0" w:space="0" w:color="auto"/>
        <w:right w:val="none" w:sz="0" w:space="0" w:color="auto"/>
      </w:divBdr>
    </w:div>
    <w:div w:id="201183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jlr.org/search?author1=S+D+Fowler&amp;sortspec=date&amp;submit=Submit"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jlr.org/search?author1=P+Greenspan&amp;sortspec=date&amp;submit=Submit"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25</Pages>
  <Words>4698</Words>
  <Characters>26781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vt:lpstr>
    </vt:vector>
  </TitlesOfParts>
  <Company>Hewlett-Packard</Company>
  <LinksUpToDate>false</LinksUpToDate>
  <CharactersWithSpaces>31417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nrupa</dc:creator>
  <cp:lastModifiedBy>Information Technology</cp:lastModifiedBy>
  <cp:revision>3</cp:revision>
  <dcterms:created xsi:type="dcterms:W3CDTF">2012-05-12T04:31:00Z</dcterms:created>
  <dcterms:modified xsi:type="dcterms:W3CDTF">2012-05-12T04:32:00Z</dcterms:modified>
</cp:coreProperties>
</file>